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2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4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273050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2850515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329565</wp:posOffset>
            </wp:positionV>
            <wp:extent cx="23317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17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ENERGOUS CORPORATION</w:t>
      </w:r>
    </w:p>
    <w:p>
      <w:pPr>
        <w:spacing w:after="0" w:line="5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3590 North First Street, Suite 330</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12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April 29, 2026</w:t>
      </w:r>
    </w:p>
    <w:p>
      <w:pPr>
        <w:spacing w:after="0" w:line="15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Energous Corporation to be held at 9:00 a.m., Pacific Time, on Thursday, June 11, 2026. The meeting will be held virtually at www.virtualshareholdermeeting.com/WATT2026, where you will be able to listen to the meeting live, submit questions, and vote. We believe that holding the meeting virtually is an important step to enhancing accessibility to our annual meeting and reducing the carbon footprint of our activities.</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look forward to your attending either virtually or by proxy. Further details regarding the matters to be acted upon at this meeting appear in the accompanying Notice of 2026 Annual Meeting of Stockholders and Proxy Statement. Please give these materials your careful attention.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David Roberson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David Roberson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4528185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509905</wp:posOffset>
            </wp:positionV>
            <wp:extent cx="2331720"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ENERGOUS CORPORATION</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3590 North First Street, Suite 330</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11, 2026</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Energous Corporation:</w:t>
      </w:r>
    </w:p>
    <w:p>
      <w:pPr>
        <w:spacing w:after="0" w:line="15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Energous Corporation, a Delaware corporation, will be held on Thursday, June 11, 2026 at 9:00 a.m., Pacific Time. The meeting will be held virtually at www.virtualshareholdermeeting.com/WATT2026, where you will be able to listen to the meeting live, submit questions, and vote:</w:t>
      </w:r>
    </w:p>
    <w:p>
      <w:pPr>
        <w:spacing w:after="0" w:line="72" w:lineRule="exact"/>
        <w:rPr>
          <w:sz w:val="20"/>
          <w:szCs w:val="20"/>
          <w:color w:val="auto"/>
        </w:rPr>
      </w:pPr>
    </w:p>
    <w:p>
      <w:pPr>
        <w:ind w:left="1800" w:right="8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members to the Board of Directors, each to serve until the 2027 annual meeting of stockholders and until their respective successors are elected and qualified (Proposal 1);</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BPM LLP as our independent registered public accounting firm for the year ending December 31, 2026 (Proposal 2);</w:t>
      </w:r>
    </w:p>
    <w:p>
      <w:pPr>
        <w:spacing w:after="0" w:line="53"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Energous Corporation Amended and Restated 2024 Equity Incentive Plan (Proposal 3);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or postponements thereof.</w:t>
      </w:r>
    </w:p>
    <w:p>
      <w:pPr>
        <w:spacing w:after="0" w:line="8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16, 2026, the record date for the meeting fixed by the Board of Directors, are entitled to notice of and to vote at the meeting and any adjournment or postponement thereof.</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Annual Meeting online, please vote your shares as instructed in the Notice of Internet Availability of Proxy Materials (the “Notice”), over the Internet, or by telephone after your receipt of hard copies of the proxy materials, as promptly as possible. You may also request a paper proxy card or voting instruction form, as applicable, to submit your vote by mail, as described in the Notice. You may also vote your shares online, and submit your questions, during the Annual Meeting.</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David Roberson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David Roberson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1758950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16"/>
                <w:szCs w:val="16"/>
                <w:color w:val="auto"/>
              </w:rPr>
            </w:pPr>
          </w:p>
        </w:tc>
      </w:tr>
      <w:tr>
        <w:trPr>
          <w:trHeight w:val="37"/>
        </w:trPr>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4480" w:type="dxa"/>
            <w:vAlign w:val="bottom"/>
            <w:tcBorders>
              <w:top w:val="single" w:sz="8" w:color="CCEEFF"/>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SOLICITATION AND VOTING</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GENERAL INFORMATION ABOUT THE ANNUAL MEETING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540" w:type="dxa"/>
            <w:vAlign w:val="bottom"/>
            <w:tcBorders>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5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 PRINCIPLES AND BOARD MATTERS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240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6980" w:type="dxa"/>
            <w:vAlign w:val="bottom"/>
            <w:tcBorders>
              <w:top w:val="single" w:sz="8" w:color="CCEEFF"/>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PROPOSAL 2 – RATIFICATION OF APPOINTMENT OF INDEPENDENT REGISTERED</w:t>
            </w: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EE"/>
              </w:rPr>
              <w:t>PUBLIC ACCOUNTING FIRM</w:t>
            </w:r>
          </w:p>
        </w:tc>
        <w:tc>
          <w:tcPr>
            <w:tcW w:w="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15</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72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 APPROVAL OF THE ENERGOUS CORPORATION AMENDED AND</w:t>
            </w: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2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RESTATED 2024 EQUITY INCENTIVE PLAN</w:t>
            </w:r>
          </w:p>
        </w:tc>
        <w:tc>
          <w:tcPr>
            <w:tcW w:w="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17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76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SECURITIES OWNERSHIP OF CERTAIN BENEFICIAL OWNERS AND</w:t>
            </w:r>
          </w:p>
        </w:tc>
        <w:tc>
          <w:tcPr>
            <w:tcW w:w="2120" w:type="dxa"/>
            <w:vAlign w:val="bottom"/>
            <w:tcBorders>
              <w:bottom w:val="single" w:sz="8" w:color="CCEEFF"/>
            </w:tcBorders>
            <w:gridSpan w:val="5"/>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MANAGEMENT</w:t>
            </w:r>
          </w:p>
        </w:tc>
        <w:tc>
          <w:tcPr>
            <w:tcW w:w="6360" w:type="dxa"/>
            <w:vAlign w:val="bottom"/>
            <w:tcBorders>
              <w:bottom w:val="single" w:sz="8" w:color="CCEEFF"/>
            </w:tcBorders>
            <w:gridSpan w:val="20"/>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9"/>
        </w:trPr>
        <w:tc>
          <w:tcPr>
            <w:tcW w:w="1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2600" w:type="dxa"/>
            <w:vAlign w:val="bottom"/>
            <w:gridSpan w:val="8"/>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5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Borders>
              <w:bottom w:val="single" w:sz="8" w:color="CCEEFF"/>
            </w:tcBorders>
            <w:gridSpan w:val="2"/>
            <w:shd w:val="clear" w:color="auto" w:fill="CCEEFF"/>
          </w:tcPr>
          <w:p>
            <w:pPr>
              <w:spacing w:after="0"/>
              <w:rPr>
                <w:sz w:val="19"/>
                <w:szCs w:val="19"/>
                <w:color w:val="auto"/>
              </w:rPr>
            </w:pPr>
          </w:p>
        </w:tc>
        <w:tc>
          <w:tcPr>
            <w:tcW w:w="2600" w:type="dxa"/>
            <w:vAlign w:val="bottom"/>
            <w:tcBorders>
              <w:bottom w:val="single" w:sz="8" w:color="CCEEFF"/>
            </w:tcBorders>
            <w:gridSpan w:val="8"/>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3"/>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660" w:type="dxa"/>
            <w:vAlign w:val="bottom"/>
            <w:gridSpan w:val="3"/>
          </w:tcPr>
          <w:p>
            <w:pPr>
              <w:spacing w:after="0"/>
              <w:rPr>
                <w:sz w:val="19"/>
                <w:szCs w:val="19"/>
                <w:color w:val="auto"/>
              </w:rPr>
            </w:pPr>
          </w:p>
        </w:tc>
        <w:tc>
          <w:tcPr>
            <w:tcW w:w="2600" w:type="dxa"/>
            <w:vAlign w:val="bottom"/>
            <w:gridSpan w:val="8"/>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78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3"/>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3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3140" w:type="dxa"/>
            <w:vAlign w:val="bottom"/>
            <w:gridSpan w:val="9"/>
          </w:tcPr>
          <w:p>
            <w:pPr>
              <w:spacing w:after="0"/>
              <w:rPr>
                <w:sz w:val="19"/>
                <w:szCs w:val="19"/>
                <w:color w:val="auto"/>
              </w:rPr>
            </w:pPr>
          </w:p>
        </w:tc>
        <w:tc>
          <w:tcPr>
            <w:tcW w:w="1560" w:type="dxa"/>
            <w:vAlign w:val="bottom"/>
            <w:gridSpan w:val="3"/>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48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3840" w:type="dxa"/>
            <w:vAlign w:val="bottom"/>
            <w:tcBorders>
              <w:bottom w:val="single" w:sz="8" w:color="CCEEFF"/>
            </w:tcBorders>
            <w:gridSpan w:val="13"/>
            <w:shd w:val="clear" w:color="auto" w:fill="CCEEFF"/>
          </w:tcPr>
          <w:p>
            <w:pPr>
              <w:spacing w:after="0"/>
              <w:rPr>
                <w:sz w:val="19"/>
                <w:szCs w:val="19"/>
                <w:color w:val="auto"/>
              </w:rPr>
            </w:pPr>
          </w:p>
        </w:tc>
        <w:tc>
          <w:tcPr>
            <w:tcW w:w="1560" w:type="dxa"/>
            <w:vAlign w:val="bottom"/>
            <w:tcBorders>
              <w:bottom w:val="single" w:sz="8" w:color="CCEEFF"/>
            </w:tcBorders>
            <w:gridSpan w:val="3"/>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OTHER BUSINESS</w:t>
            </w:r>
          </w:p>
        </w:tc>
        <w:tc>
          <w:tcPr>
            <w:tcW w:w="4780" w:type="dxa"/>
            <w:vAlign w:val="bottom"/>
            <w:gridSpan w:val="16"/>
          </w:tcPr>
          <w:p>
            <w:pPr>
              <w:spacing w:after="0"/>
              <w:rPr>
                <w:sz w:val="19"/>
                <w:szCs w:val="19"/>
                <w:color w:val="auto"/>
              </w:rPr>
            </w:pPr>
          </w:p>
        </w:tc>
        <w:tc>
          <w:tcPr>
            <w:tcW w:w="1560" w:type="dxa"/>
            <w:vAlign w:val="bottom"/>
            <w:gridSpan w:val="3"/>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9"/>
        </w:trPr>
        <w:tc>
          <w:tcPr>
            <w:tcW w:w="6320" w:type="dxa"/>
            <w:vAlign w:val="bottom"/>
            <w:tcBorders>
              <w:bottom w:val="single" w:sz="8" w:color="0000EE"/>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 – AMENDED AND RESTATED 2024 EQUITY INCENTIVE PLAN</w:t>
            </w:r>
          </w:p>
        </w:tc>
        <w:tc>
          <w:tcPr>
            <w:tcW w:w="1560" w:type="dxa"/>
            <w:vAlign w:val="bottom"/>
            <w:tcBorders>
              <w:bottom w:val="single" w:sz="8" w:color="CCEEFF"/>
            </w:tcBorders>
            <w:gridSpan w:val="3"/>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0000EE"/>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A-1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-3299460</wp:posOffset>
            </wp:positionV>
            <wp:extent cx="5006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4324985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509905</wp:posOffset>
            </wp:positionV>
            <wp:extent cx="2331720"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17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3590 North First Street, Suite 330</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5212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to be held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231775</wp:posOffset>
            </wp:positionV>
            <wp:extent cx="5212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(the “Board” or “Board of Directors”) of Energous Corporation d/b/a Energous Wireless Power Solutions (the “Company,” “Energous,” “we,” “us” or “our”) is providing these materials to you in connection with our 2026 Annual Meeting of Stockholders (the “Annual Meeting”), which will take place on Thursday, June 11, 2026 at 9:00 a.m., Pacific Time. The Annual Meeting will be held virtually at www.virtualshareholdermeeting.com/WATT2026, where you will be able to listen to the meeting live, submit questions, and vote by entering your control number included in your Notice of Internet Availability of Proxy Materials (the “Notice”), on your proxy card or on the instructions that accompanied your proxy materials. We believe that holding the Annual Meeting virtually is an important step to enhancing accessibility to the meeting and reducing the carbon footprint of our activities. This proxy statement and the accompanying other proxy materials will be first made available to stockholders on or about April 29, 2026.</w:t>
      </w:r>
    </w:p>
    <w:p>
      <w:pPr>
        <w:spacing w:after="0" w:line="123" w:lineRule="exact"/>
        <w:rPr>
          <w:sz w:val="20"/>
          <w:szCs w:val="20"/>
          <w:color w:val="auto"/>
        </w:rPr>
      </w:pPr>
    </w:p>
    <w:p>
      <w:pPr>
        <w:ind w:left="126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2026 ANNUAL MEETING OF STOCKHOLDERS TO BE HELD ON JUNE 11, 2026. </w:t>
      </w:r>
      <w:r>
        <w:rPr>
          <w:rFonts w:ascii="Times New Roman" w:cs="Times New Roman" w:eastAsia="Times New Roman" w:hAnsi="Times New Roman"/>
          <w:sz w:val="18"/>
          <w:szCs w:val="18"/>
          <w:color w:val="auto"/>
        </w:rPr>
        <w:t>This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our 2025 Annual Report to stockholders are available at www.proxyvote.com.</w:t>
      </w:r>
    </w:p>
    <w:p>
      <w:pPr>
        <w:spacing w:after="0" w:line="1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have received these materials because you were a stockholder as of the close of business on the record date, which is April 16, 2026, and our Board is soliciting your proxy to vote your shares at the Annual Meeting. This proxy statement includes information that we are required to provide you under U.S. Securities and Exchange Commission (“SEC”) rules and is designed to assist you in voting your shares.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4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our Board of Directors is asking for your proxy, meaning that you authorize persons selected by the Board to vote your shares at the Annual Meeting in the way that you instruct. All shares represented by valid proxies received before the Annual Meeting will be voted in accordance with the stockholder’s specific voting instructions.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to be a “stockholder of record”?</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as of the close of business on the record date, your shares of common stock were registered directly in your name with our transfer agent, Computershare Trust Company, N.A., you are a stockholder of record. As a stockholder of record, you have the right to vote at the Annual Meeting. You may also vote by Internet, telephone or mail, as described in the Notice or on your proxy card and under the heading below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578485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to beneficially own shares in “street name”?</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as of the close of business on the record date, your shares were not held directly in your name but rather were held in an account at a brokerage firm, bank or similar intermediary organization, then you are the beneficial holder of shares held in “street name.” The intermediary is considered to be the stockholder of record for purposes of voting at the Annual Meeting. As a beneficial owner, you have the right to direct the intermediary how to vote the shares held in your account. You will only be able to vote at the Annual Meeting if you receive a valid proxy from your brokerage firm, bank or similar intermediary organization. In addition, we will require additional documentation to evidence your stock ownership as of the record date, such as a copy of your brokerage account statement, a letter from your broker, bank or other nominee or a copy of your notice or voting instruction card.</w:t>
      </w:r>
    </w:p>
    <w:p>
      <w:pPr>
        <w:spacing w:after="0" w:line="11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you hold stock through an account with a bank, broker or similar organization, you are considered the beneficial owner of shares held in “street name” by that institution and not a stockholder of record. For shares held in street name, the stockholder of record is the bank, broker or similar organization.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included in our proxy materials?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materials include:</w:t>
      </w:r>
    </w:p>
    <w:p>
      <w:pPr>
        <w:spacing w:after="0" w:line="117"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Annual Meeting of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Statement;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Annual Report to Stockholders, which consists of our Annual Report on Form 10-K for the year ended December 31, 2025 (the “2025 Annual Report”).</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you received a paper copy of these materials by mail, the proxy materials also include a proxy card, or a voting instruction form for the Annual Meeting. If you received a Notice of Internet Availability of Proxy Materials instead of a paper copy of the proxy materials, see the section titled “How do I vote?” below for information regarding how you can vote your shares.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items will be voted on at the Annual Meeting?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117" w:lineRule="exact"/>
        <w:rPr>
          <w:sz w:val="20"/>
          <w:szCs w:val="20"/>
          <w:color w:val="auto"/>
        </w:rPr>
      </w:pPr>
    </w:p>
    <w:p>
      <w:pPr>
        <w:ind w:left="1800" w:right="73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director nominees nominated by our Board of Directors, each to serve until the 2027 annual meeting of stockholders and until their respective successors are elected and qualified (Proposal 1);</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BPM LLP (“BPM”) as our independent registered public accounting firm for the year ending December 31, 2026 (Proposal 2); and</w:t>
      </w:r>
    </w:p>
    <w:p>
      <w:pPr>
        <w:spacing w:after="0" w:line="53"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Energous Corporation Amended and Restated 2024 Equity Incentive Plan (Proposal 3).</w:t>
      </w:r>
    </w:p>
    <w:p>
      <w:pPr>
        <w:spacing w:after="0" w:line="9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Board is not aware of any other matters to be brought before the Annual Meeting. If other matters are properly raised at the meeting, the proxy holders are authorized to vote in their discretion any shares that they represent by proxy.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Board’s voting recommendations?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recommends that you vote your shares:</w:t>
      </w:r>
    </w:p>
    <w:p>
      <w:pPr>
        <w:spacing w:after="0" w:line="113"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 of the nominees to the Board of Directors presented in this proxy statement (Proposal 1);</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BPM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year ending December 31, 2026 (Proposal 2); and</w:t>
      </w:r>
    </w:p>
    <w:p>
      <w:pPr>
        <w:spacing w:after="0" w:line="46"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Energous Corporation Amended and Restated 2024 Equity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3) (the “Equity Plan Proposal”).</w:t>
      </w:r>
    </w:p>
    <w:p>
      <w:pPr>
        <w:spacing w:after="0" w:line="9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No director, nominee for election as a director, or executive officer of the Company has any substantial interest in any matter to be voted upon, except that (i) with respect to Proposal 1, each of the nominees named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1" w:lineRule="auto"/>
        <w:rPr>
          <w:sz w:val="20"/>
          <w:szCs w:val="20"/>
          <w:color w:val="auto"/>
        </w:rPr>
      </w:pPr>
      <w:r>
        <w:rPr>
          <w:rFonts w:ascii="Times New Roman" w:cs="Times New Roman" w:eastAsia="Times New Roman" w:hAnsi="Times New Roman"/>
          <w:sz w:val="18"/>
          <w:szCs w:val="18"/>
          <w:color w:val="auto"/>
        </w:rPr>
        <w:t>therein has an interest with respect to his or her respective election to office, and (ii) with respect to Proposal 3, the directors, nominees and executive officers have an interest by virtue of being eligible to receive equity grants under the 2024 Equity Incentive Plan.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may participate in the Annual Meeting?</w:t>
      </w:r>
    </w:p>
    <w:p>
      <w:pPr>
        <w:spacing w:after="0" w:line="162"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This year’s Annual Meeting will take place virtually. We designed the format of the Annual Meeting to ensure that our stockholders who attend the Annual Meeting will be afforded the same rights and opportunities to participate as they would at an in-person meeting.</w:t>
      </w:r>
    </w:p>
    <w:p>
      <w:pPr>
        <w:spacing w:after="0" w:line="11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You are entitled to attend and participate in the Annual Meeting only if you were a stockholder of</w:t>
      </w:r>
    </w:p>
    <w:p>
      <w:pPr>
        <w:spacing w:after="0" w:line="27" w:lineRule="exact"/>
        <w:rPr>
          <w:sz w:val="20"/>
          <w:szCs w:val="20"/>
          <w:color w:val="auto"/>
        </w:rPr>
      </w:pPr>
    </w:p>
    <w:p>
      <w:pPr>
        <w:ind w:left="1260" w:right="519"/>
        <w:spacing w:after="0" w:line="263" w:lineRule="auto"/>
        <w:rPr>
          <w:sz w:val="20"/>
          <w:szCs w:val="20"/>
          <w:color w:val="auto"/>
        </w:rPr>
      </w:pPr>
      <w:r>
        <w:rPr>
          <w:rFonts w:ascii="Times New Roman" w:cs="Times New Roman" w:eastAsia="Times New Roman" w:hAnsi="Times New Roman"/>
          <w:sz w:val="18"/>
          <w:szCs w:val="18"/>
          <w:color w:val="auto"/>
        </w:rPr>
        <w:t>record as of the close of business on April 16, 2026, if you hold a valid proxy for the meeting, or if you are our invited guest. To be admitted to the Annual Meeting at www.virtualshareholdermeeting.com/WATT2026, you must enter the control number found on your proxy card or other proxy materials. If you are a beneficial owner and would like to attend and participate in the Annual Meeting, please contact the brokerage firm, bank, dealer, or other similar organization that holds your account as soon as possible to obtain a valid proxy. In addition to the valid proxy, we will also require additional evidence of your beneficial ownership, such as a copy of your brokerage account statement, a letter from your broker, bank or other nominee or a copy of your notice or voting instruction card.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is the record date and who is entitled to vote?</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Board of Directors set April 16, 2026 as the record date for the Annual Meeting. All record holders of our common stock as of the close of business on that date are entitled to vote at the Annual Meeting. Each share of common stock is entitled to one vote. As of April 16, 2026, there were 5,501,099 shares of common stock outstanding.</w:t>
      </w:r>
    </w:p>
    <w:p>
      <w:pPr>
        <w:spacing w:after="0" w:line="105"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As described below, if you are not a stockholder of record, you are entitled to direct your brokerage firm, bank, dealer or other financial intermediary how to vote your shares according to the instructions they provide to you. You will not be able to vote your shares directly unless you have a valid proxy from the stockholder of record authorizing you to do so.</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stockholder of record, you may vote or submit a proxy by any of the following methods:</w:t>
      </w:r>
    </w:p>
    <w:p>
      <w:pPr>
        <w:spacing w:after="0" w:line="169" w:lineRule="exact"/>
        <w:rPr>
          <w:sz w:val="20"/>
          <w:szCs w:val="20"/>
          <w:color w:val="auto"/>
        </w:rPr>
      </w:pPr>
    </w:p>
    <w:p>
      <w:pPr>
        <w:ind w:left="1980" w:hanging="360"/>
        <w:spacing w:after="0"/>
        <w:tabs>
          <w:tab w:leader="none" w:pos="19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By Internet </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i w:val="1"/>
          <w:iCs w:val="1"/>
          <w:color w:val="auto"/>
        </w:rPr>
      </w:pPr>
    </w:p>
    <w:p>
      <w:pPr>
        <w:ind w:left="1980" w:right="499"/>
        <w:spacing w:after="0" w:line="27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Before the Annual Meeting — </w:t>
      </w:r>
      <w:r>
        <w:rPr>
          <w:rFonts w:ascii="Times New Roman" w:cs="Times New Roman" w:eastAsia="Times New Roman" w:hAnsi="Times New Roman"/>
          <w:sz w:val="18"/>
          <w:szCs w:val="18"/>
          <w:color w:val="auto"/>
        </w:rPr>
        <w:t>You may authorize the voting of your shares by following the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Internet” instructions set forth on the Notice or proxy card through 8:59 p.m. Pacific Time on June 10, 2026. You must specify how you want your shares voted or your vote will not be completed, and you will receive an error message.</w:t>
      </w:r>
    </w:p>
    <w:p>
      <w:pPr>
        <w:spacing w:after="0" w:line="101" w:lineRule="exact"/>
        <w:rPr>
          <w:rFonts w:ascii="Times New Roman" w:cs="Times New Roman" w:eastAsia="Times New Roman" w:hAnsi="Times New Roman"/>
          <w:sz w:val="18"/>
          <w:szCs w:val="18"/>
          <w:i w:val="1"/>
          <w:iCs w:val="1"/>
          <w:color w:val="auto"/>
        </w:rPr>
      </w:pPr>
    </w:p>
    <w:p>
      <w:pPr>
        <w:ind w:left="1980" w:right="479"/>
        <w:spacing w:after="0" w:line="27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During the Annual Meeting — </w:t>
      </w:r>
      <w:r>
        <w:rPr>
          <w:rFonts w:ascii="Times New Roman" w:cs="Times New Roman" w:eastAsia="Times New Roman" w:hAnsi="Times New Roman"/>
          <w:sz w:val="18"/>
          <w:szCs w:val="18"/>
          <w:color w:val="auto"/>
        </w:rPr>
        <w:t>You may vote online during the Annual Meeting. You may 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vote electronically during the Annual Meeting using the control number found on your proxy card or other proxy materials and following the instructions at www.virtualshareholdermeeting.com/WATT2026.</w:t>
      </w:r>
    </w:p>
    <w:p>
      <w:pPr>
        <w:spacing w:after="0" w:line="128" w:lineRule="exact"/>
        <w:rPr>
          <w:rFonts w:ascii="Times New Roman" w:cs="Times New Roman" w:eastAsia="Times New Roman" w:hAnsi="Times New Roman"/>
          <w:sz w:val="18"/>
          <w:szCs w:val="18"/>
          <w:i w:val="1"/>
          <w:iCs w:val="1"/>
          <w:color w:val="auto"/>
        </w:rPr>
      </w:pPr>
    </w:p>
    <w:p>
      <w:pPr>
        <w:ind w:left="1980" w:right="599" w:hanging="360"/>
        <w:spacing w:after="0" w:line="284" w:lineRule="auto"/>
        <w:tabs>
          <w:tab w:leader="none" w:pos="19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By Telephone — </w:t>
      </w:r>
      <w:r>
        <w:rPr>
          <w:rFonts w:ascii="Times New Roman" w:cs="Times New Roman" w:eastAsia="Times New Roman" w:hAnsi="Times New Roman"/>
          <w:sz w:val="18"/>
          <w:szCs w:val="18"/>
          <w:color w:val="auto"/>
        </w:rPr>
        <w:t>You may vote by proxy, by phone, by following the instructions included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or proxy card through 8:59 p.m. Pacific Time on June 10, 2026.</w:t>
      </w:r>
    </w:p>
    <w:p>
      <w:pPr>
        <w:spacing w:after="0" w:line="104" w:lineRule="exact"/>
        <w:rPr>
          <w:rFonts w:ascii="Times New Roman" w:cs="Times New Roman" w:eastAsia="Times New Roman" w:hAnsi="Times New Roman"/>
          <w:sz w:val="18"/>
          <w:szCs w:val="18"/>
          <w:i w:val="1"/>
          <w:iCs w:val="1"/>
          <w:color w:val="auto"/>
        </w:rPr>
      </w:pPr>
    </w:p>
    <w:p>
      <w:pPr>
        <w:ind w:left="1980" w:right="599" w:hanging="360"/>
        <w:spacing w:after="0" w:line="267" w:lineRule="auto"/>
        <w:tabs>
          <w:tab w:leader="none" w:pos="19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By Mail — </w:t>
      </w:r>
      <w:r>
        <w:rPr>
          <w:rFonts w:ascii="Times New Roman" w:cs="Times New Roman" w:eastAsia="Times New Roman" w:hAnsi="Times New Roman"/>
          <w:sz w:val="18"/>
          <w:szCs w:val="18"/>
          <w:color w:val="auto"/>
        </w:rPr>
        <w:t>If you received a paper copy of the proxy materials by mail, you may vote by 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returning the proxy card included in the postage-paid envelope we have provided and returning it to Vote Processing, c/o Broadridge, 51 Mercedes Way, Edgewood, NY 11717.</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holding shares in street name, you have the right to instruct the stockholder of record (your bank, broker or similar organization) on how to vote your shares by following the instructions they provide to you. If you wish to personally attend and vote electronically during the Annual Meeting, you must obtain a valid proxy from the stockholder of record authorizing you to vote your shares and vote. In addition, we will require additional documentation to evidence your stock ownership as of the record date, such as a copy of your brokerage account statement, a letter from your broker, bank or other nominee or a copy of your notice or voting instruction card.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change or revoke my vote?</w:t>
      </w:r>
    </w:p>
    <w:p>
      <w:pPr>
        <w:spacing w:after="0" w:line="133" w:lineRule="exact"/>
        <w:rPr>
          <w:sz w:val="20"/>
          <w:szCs w:val="20"/>
          <w:color w:val="auto"/>
        </w:rPr>
      </w:pPr>
    </w:p>
    <w:p>
      <w:pPr>
        <w:ind w:left="1800" w:right="519" w:hanging="180"/>
        <w:spacing w:after="0" w:line="25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of Record — </w:t>
      </w:r>
      <w:r>
        <w:rPr>
          <w:rFonts w:ascii="Times New Roman" w:cs="Times New Roman" w:eastAsia="Times New Roman" w:hAnsi="Times New Roman"/>
          <w:sz w:val="18"/>
          <w:szCs w:val="18"/>
          <w:color w:val="auto"/>
        </w:rPr>
        <w:t>You may change or revoke your vote by submitting a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revocation to Energous Corporation, c/o Secretary, at 3590 North First Street, Suite 330, San Jose, California 95134 at or before 8:59 p.m. Pacific Time, on June 10, 2026, by delivering another properly completed proxy card with a later date before the electronic polls close at the Annual Meeting, by granting a subsequent proxy by telephone or through the Internet prior to the deadlines described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above, or by voting online during the Annual Meeting. Your most current proxy card or telephone or Internet proxy is the one that is counted.</w:t>
      </w:r>
    </w:p>
    <w:p>
      <w:pPr>
        <w:spacing w:after="0" w:line="101" w:lineRule="exact"/>
        <w:rPr>
          <w:rFonts w:ascii="Times New Roman" w:cs="Times New Roman" w:eastAsia="Times New Roman" w:hAnsi="Times New Roman"/>
          <w:sz w:val="18"/>
          <w:szCs w:val="18"/>
          <w:color w:val="auto"/>
        </w:rPr>
      </w:pPr>
    </w:p>
    <w:p>
      <w:pPr>
        <w:ind w:left="1800" w:right="1099" w:hanging="180"/>
        <w:spacing w:after="0" w:line="284"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of shares held in “street name” — </w:t>
      </w:r>
      <w:r>
        <w:rPr>
          <w:rFonts w:ascii="Times New Roman" w:cs="Times New Roman" w:eastAsia="Times New Roman" w:hAnsi="Times New Roman"/>
          <w:sz w:val="18"/>
          <w:szCs w:val="18"/>
          <w:color w:val="auto"/>
        </w:rPr>
        <w:t>You may change or revoke your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by following the specific directions provided to you by your bank or broker.</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I do not give specific voting instructions?</w:t>
      </w:r>
    </w:p>
    <w:p>
      <w:pPr>
        <w:spacing w:after="0" w:line="146" w:lineRule="exact"/>
        <w:rPr>
          <w:sz w:val="20"/>
          <w:szCs w:val="20"/>
          <w:color w:val="auto"/>
        </w:rPr>
      </w:pPr>
    </w:p>
    <w:p>
      <w:pPr>
        <w:ind w:left="1260" w:right="65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 </w:t>
      </w:r>
      <w:r>
        <w:rPr>
          <w:rFonts w:ascii="Times New Roman" w:cs="Times New Roman" w:eastAsia="Times New Roman" w:hAnsi="Times New Roman"/>
          <w:sz w:val="18"/>
          <w:szCs w:val="18"/>
          <w:color w:val="auto"/>
        </w:rPr>
        <w:t>If you are a stockholder of record and you sign and return a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giving specific voting instructions, then the proxy holders will vote your shares in the manner recommended by the Board on all matters presented in this proxy statement and as the proxy holders may determine in their discretion for any other matters properly presented for a vote at the Annual Meeting.</w:t>
      </w:r>
    </w:p>
    <w:p>
      <w:pPr>
        <w:spacing w:after="0" w:line="11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 </w:t>
      </w:r>
      <w:r>
        <w:rPr>
          <w:rFonts w:ascii="Times New Roman" w:cs="Times New Roman" w:eastAsia="Times New Roman" w:hAnsi="Times New Roman"/>
          <w:sz w:val="18"/>
          <w:szCs w:val="18"/>
          <w:color w:val="auto"/>
        </w:rPr>
        <w:t>If you are a beneficial owner of shares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name and do not provide the organization that holds your shares with specific voting instructions, the organization that holds your shares may generally vote in its discretion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matter with respect to your shares, which is referred to as a “broker non-vote.”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Which ballot measures are considered “routine” or “non-routine”?</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Each of the election of directors (Proposal 1) and the Equity Plan Proposal (Proposal 3) are considered to be non-routine matters under applicable rules. Brokers and other nominees cannot vote without stockholder instructions on non-routine matters, so there are likely to be broker non-votes on these proposals. The ratification of the appointment of BPM as our independent registered public accounting firm for 2026 (Proposal 2) is considered to be a routine matter under applicable rules. Brokers or other nominees may generally vote on routine matters, and we do not expect there to be any broker non-votes with respect to such proposals.</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for the Annual Meeting?</w:t>
      </w:r>
    </w:p>
    <w:p>
      <w:pPr>
        <w:spacing w:after="0" w:line="148" w:lineRule="exact"/>
        <w:rPr>
          <w:sz w:val="20"/>
          <w:szCs w:val="20"/>
          <w:color w:val="auto"/>
        </w:rPr>
      </w:pPr>
    </w:p>
    <w:p>
      <w:pPr>
        <w:ind w:left="1260" w:right="839" w:firstLine="360"/>
        <w:spacing w:after="0" w:line="274" w:lineRule="auto"/>
        <w:rPr>
          <w:sz w:val="20"/>
          <w:szCs w:val="20"/>
          <w:color w:val="auto"/>
        </w:rPr>
      </w:pPr>
      <w:r>
        <w:rPr>
          <w:rFonts w:ascii="Times New Roman" w:cs="Times New Roman" w:eastAsia="Times New Roman" w:hAnsi="Times New Roman"/>
          <w:sz w:val="18"/>
          <w:szCs w:val="18"/>
          <w:color w:val="auto"/>
        </w:rPr>
        <w:t>The presence at the Annual Meeting, in person (including virtual attendance) or by proxy, of the holders of one-third of the shares of our stock issued and outstanding and entitled to vote at the Annual Meeting constitutes a quorum and is necessary for the transaction of business at the Annual Meeting.</w:t>
      </w:r>
    </w:p>
    <w:p>
      <w:pPr>
        <w:spacing w:after="0" w:line="11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are counted as present for purposes of determining the existence of a quorum.</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162"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The following are the vote requirements for each proposal:</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EFFECT OF</w:t>
            </w: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EFFECT OF</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DISCRETIONARY</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VOTE ALLOWED</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NON-VOTES</w:t>
            </w:r>
          </w:p>
        </w:tc>
      </w:tr>
      <w:tr>
        <w:trPr>
          <w:trHeight w:val="191"/>
        </w:trPr>
        <w:tc>
          <w:tcPr>
            <w:tcW w:w="2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Proposal 1 — </w:t>
            </w:r>
            <w:r>
              <w:rPr>
                <w:rFonts w:ascii="Times New Roman" w:cs="Times New Roman" w:eastAsia="Times New Roman" w:hAnsi="Times New Roman"/>
                <w:sz w:val="18"/>
                <w:szCs w:val="18"/>
                <w:color w:val="auto"/>
              </w:rPr>
              <w:t>Election of Directors</w:t>
            </w:r>
          </w:p>
        </w:tc>
        <w:tc>
          <w:tcPr>
            <w:tcW w:w="120" w:type="dxa"/>
            <w:vAlign w:val="bottom"/>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Plurality (The four</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2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nominees receiving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highest number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 “FOR” votes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cast will be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elected.)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2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Proposal 2 — </w:t>
            </w:r>
            <w:r>
              <w:rPr>
                <w:rFonts w:ascii="Times New Roman" w:cs="Times New Roman" w:eastAsia="Times New Roman" w:hAnsi="Times New Roman"/>
                <w:sz w:val="18"/>
                <w:szCs w:val="18"/>
                <w:color w:val="auto"/>
              </w:rPr>
              <w:t>Ratification of</w:t>
            </w:r>
          </w:p>
        </w:tc>
        <w:tc>
          <w:tcPr>
            <w:tcW w:w="162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Majority of the</w:t>
            </w:r>
          </w:p>
        </w:tc>
        <w:tc>
          <w:tcPr>
            <w:tcW w:w="11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13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votes cast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 for the year ending</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2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Proposal 3 — </w:t>
            </w:r>
            <w:r>
              <w:rPr>
                <w:rFonts w:ascii="Times New Roman" w:cs="Times New Roman" w:eastAsia="Times New Roman" w:hAnsi="Times New Roman"/>
                <w:sz w:val="18"/>
                <w:szCs w:val="18"/>
                <w:color w:val="auto"/>
              </w:rPr>
              <w:t>Equity Plan Proposal</w:t>
            </w:r>
          </w:p>
        </w:tc>
        <w:tc>
          <w:tcPr>
            <w:tcW w:w="162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Majority of the</w:t>
            </w:r>
          </w:p>
        </w:tc>
        <w:tc>
          <w:tcPr>
            <w:tcW w:w="11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13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No effect</w:t>
            </w:r>
          </w:p>
        </w:tc>
      </w:tr>
      <w:tr>
        <w:trPr>
          <w:trHeight w:val="234"/>
        </w:trPr>
        <w:tc>
          <w:tcPr>
            <w:tcW w:w="2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votes cast</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13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None of the proposals, if approved, entitle stockholders to appraisal rights under Delaware law or our charter.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pays for solicitation of proxies?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are paying the cost of soliciting proxies. We will reimburse brokerage firms and other custodians, nominees and fiduciaries for their reasonable out-of-pocket expenses for sending proxy materials to stockholders and obtaining their votes. In addition to soliciting the proxies by mail, certain of our directors, officers and regular employees, without compensation, may solicit proxies personally or by telephone, facsimile and email.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announce the results of voting at the Annual Meeting in a Current Report on Form 8-K to be filed with the SEC within four business days following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four members. The four members of the Board of Directors set forth below have been nominated for election at the Annual Meeting, to hold office until the next annual meeting and the election of their successors.</w:t>
      </w:r>
    </w:p>
    <w:p>
      <w:pPr>
        <w:spacing w:after="0" w:line="10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Shares represented by all proxies received and not marked to withhold authority to vote for any individual nominee will be voted FOR the election of each of the nominees named below. Each nominee has agreed to serve if elected and the Board knows of no reason why any nominee would be unable to serve, but if such should be the case, proxies may be voted for the election of some other person nominated by the Board.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nominees for election to the Board at the Annual Meeting, along with the year such director was first elected as a member of our Board, if applicable, and the positions with us held by each director.</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Director Since</w:t>
            </w: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with Energous</w:t>
            </w:r>
          </w:p>
        </w:tc>
      </w:tr>
      <w:tr>
        <w:trPr>
          <w:trHeight w:val="37"/>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25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2022</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5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October 2024</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Executive Officer and Chief Financial Officer</w:t>
            </w:r>
          </w:p>
        </w:tc>
      </w:tr>
      <w:tr>
        <w:trPr>
          <w:trHeight w:val="25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2022</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Patel</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2019</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Set forth below is background information about each director nominee, as well as information about the experience, qualifications, attributes or skills that led the Board to conclude that such person should serve on the Board.</w:t>
      </w:r>
    </w:p>
    <w:p>
      <w:pPr>
        <w:spacing w:after="0" w:line="10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David Roberson</w:t>
      </w:r>
      <w:r>
        <w:rPr>
          <w:rFonts w:ascii="Times New Roman" w:cs="Times New Roman" w:eastAsia="Times New Roman" w:hAnsi="Times New Roman"/>
          <w:sz w:val="18"/>
          <w:szCs w:val="18"/>
          <w:color w:val="auto"/>
        </w:rPr>
        <w:t>, age 71, joined our Board in August 2022. He has served as Chairman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April 2024. Mr. Roberson is currently the Head of Strategic Projects and Emerging Growth Solutions for the Interim Solutions Group of ZRG Partners, a role in which he has served since April 2024. Previously, Mr. Roberson served as the Chief Executive Officer of RoseRyan, an accounting and financial advisory firm, from January 2020 until March 2024. Mr. Roberson previously acted as Vice President of RoseRyan from December 2018 to December 2019 and Project Team Lead from October 2017 to May 2018. RoseRyan was acquired by ZRG Partners in April 2022. From December 2020 to February 2023, he served as Chief Executive Officer and Chief Financial Officer and as chair of the board of directors of Carney Technology Acquisition Corp. II., a technology-focused special purpose acquisition company. From 2017 to 2021, Mr. Roberson served as the Chairman of Push Technology Limited, a data optimization business. Before that, Mr. Roberson served as an advisor to various technology companies, including serving on the boards of directors of Spansion Corporation Inc., Integrated Device Technology Corporation, International Game Technology Corporation, Quantum Corporation and Brocade Communications Systems, Inc.</w:t>
      </w:r>
    </w:p>
    <w:p>
      <w:pPr>
        <w:spacing w:after="0" w:line="9"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Mr. Roberson previously served as Senior Vice President, Enterprise Servers, Storage and Networking at Hewlett-Packard Company (“HP”) from 2007 to 2011. Prior to HP, Mr. Roberson spent 26 years at Hitachi Data Systems Corporation, starting as corporate counsel and eventually becoming President and Chief Executive Officer, a position he held from 2006 to 2007. Mr. Roberson holds a B.A. in Social Ecology from the University of California, Irvine and a J.D. from Golden Gate University School of Law. Our Board believes that Mr. Roberson’s vast industry knowledge and extensive public company board experience qualify him to serve as a member of our Board.</w:t>
      </w:r>
    </w:p>
    <w:p>
      <w:pPr>
        <w:spacing w:after="0" w:line="11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J. Michael Dodson</w:t>
      </w:r>
      <w:r>
        <w:rPr>
          <w:rFonts w:ascii="Times New Roman" w:cs="Times New Roman" w:eastAsia="Times New Roman" w:hAnsi="Times New Roman"/>
          <w:sz w:val="18"/>
          <w:szCs w:val="18"/>
          <w:color w:val="auto"/>
        </w:rPr>
        <w:t>, age 65, joined our Board in August 2022. Mr. Dodson currently serves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Immersion Corporation, a leading developer and provider of technologies for haptics, where he has served since joining the company in June 2023. Prior to joining Immersion, Mr. Dodson served as the Chief Financial Officer of Quantum Corporation (“Quantum”), a data storage and management company, from May 2018 through January 2023. He also served as the interim Chief Executive Officer of Quantum from May 2018 to June 2018, a position he held until a full-time Chief Executive Officer was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appointed. From August 2017 to May 2018, Mr. Dodson served as the Chief Financial Officer of Greenwave Systems (“Greenwave”), a software-defined network solutions provider. Prior to joining Greenwave,</w:t>
      </w:r>
    </w:p>
    <w:p>
      <w:pPr>
        <w:jc w:val="both"/>
        <w:ind w:left="1260" w:right="519"/>
        <w:spacing w:after="0" w:line="250" w:lineRule="auto"/>
        <w:rPr>
          <w:sz w:val="20"/>
          <w:szCs w:val="20"/>
          <w:color w:val="auto"/>
        </w:rPr>
      </w:pPr>
      <w:r>
        <w:rPr>
          <w:rFonts w:ascii="Times New Roman" w:cs="Times New Roman" w:eastAsia="Times New Roman" w:hAnsi="Times New Roman"/>
          <w:sz w:val="18"/>
          <w:szCs w:val="18"/>
          <w:color w:val="auto"/>
        </w:rPr>
        <w:t>Mr. Dodson served as the Chief Operating Officer and Chief Financial Officer at Mattson Technology, Inc. (“Mattson”), a semiconductor equipment manufacturer and supplier, from 2012 to 2017. He joined Mattson as Executive Vice President, Chief Financial Officer and Secretary in 2011. Prior to joining Mattson,</w:t>
      </w:r>
    </w:p>
    <w:p>
      <w:pPr>
        <w:spacing w:after="0" w:line="1"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Mr. Dodson served as Chief Financial Officer at four global public technology companies and as Chief Accounting Officer for an S&amp;P 500 company. Mr. Dodson started his career with Ernst &amp; Young LLP. From May 2020 to April 2021, Mr. Dodson served on the board of directors of A10 Networks, Inc., an application security company, including as Chair of the Audit Committee. From 2013 to 2020, he served on the Board of Directors of Sigma Designs, Inc., a provider of system-on-chip solutions for the home entertainment market, including as Chairman of the Audit Committee from 2014 until 2020 and Lead Independent Director from 2015 until 2020. In addition, Mr. Dodson serves as a director of two private entities: a charitable organization and a privately held for-profit company. He holds a B.B.A. degree with dual majors in Accounting and Information Systems Analysis and Design from the University of Wisconsin-Madison. Our Board believes that Mr. Dodson’s extensive experience serving as chief financial officer of both public and private companies, as well as his public company board service, including as a chairman of an audit committee for a public company, qualify him to serve as a member of our Board.</w:t>
      </w:r>
    </w:p>
    <w:p>
      <w:pPr>
        <w:spacing w:after="0" w:line="12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Rahul Patel</w:t>
      </w:r>
      <w:r>
        <w:rPr>
          <w:rFonts w:ascii="Times New Roman" w:cs="Times New Roman" w:eastAsia="Times New Roman" w:hAnsi="Times New Roman"/>
          <w:sz w:val="18"/>
          <w:szCs w:val="18"/>
          <w:color w:val="auto"/>
        </w:rPr>
        <w:t>, age 56, joined our Board in August 2019. Mr. Patel has been the President, CEO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Synaptics, Inc. (“Synaptics”) since June 2025. Prior to joining Synaptics, he spent a decade at Qualcomm Incorporated, including most recently as SVP and Group General Manager of the Connectivity, Broadband, &amp; Networking Group, where he was responsible for overseeing a multi-billion-dollar portfolio of wireless networking and connectivity business. Earlier in his career, Mr. Patel spent 13 years in various senior leadership roles at Broadcom Corporation, including serving as Senior Vice President and General Manager, Wireless Connectivity Group, where he played a pivotal role in expanding Broadcom’s Wi-Fi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GPS leadership across all market segments. Mr. Patel holds a Bachelor’s degree in Electronics &amp; Communications Engineering from NIT, Warangal, India, a Master’s Degree in Computer Science and Engineering from Arizona State University, and an MBA in Marketing and Finance from Santa Clara University. Our Board believes that Mr. Patel’s extensive executive, managerial, marketing and engineering experience and in-depth knowledge of the semiconductor, consumer, mobile and telecommunications industries qualify him to serve as a member of our Board.</w:t>
      </w:r>
    </w:p>
    <w:p>
      <w:pPr>
        <w:spacing w:after="0" w:line="13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Mallorie Burak</w:t>
      </w:r>
      <w:r>
        <w:rPr>
          <w:rFonts w:ascii="Times New Roman" w:cs="Times New Roman" w:eastAsia="Times New Roman" w:hAnsi="Times New Roman"/>
          <w:sz w:val="18"/>
          <w:szCs w:val="18"/>
          <w:color w:val="auto"/>
        </w:rPr>
        <w:t>, age 55, joined the Company in January 2024 as our Chief Financial Officer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served as our Chief Executive Officer and a Director since October 2024. Ms. Burak also served as our interim principal executive officer from March 2024 until her appointment as permanent Chief Executive Officer in October 2024. Prior to joining the Company, Ms. Burak served as President and Chief Financial Officer of Knightscope, Inc., an advanced public safety technology company, from October 2020 to January 2024, Chief Financial Officer of ThinFilm Electronics ASA, a solid-state lithium battery start-up, from July 2019 to June 2020, and Chief Financial Officer of Alta Devices, Inc., a GaAs thin-film solar technology start-up, from February 2016 to July 2019. Ms. Burak also acted as an Advisor and Board Member at Locale from July 2020 to September 2021, a Financial Advisor at SSG Capital Advisors LLC from January 2020 to October 2020, and as a Financial Advisor at SIM-X Tactical Solutions, Inc. from September 2015 to January 2020. Ms. Burak was previously President and Chief Financial Officer of FriendFinder Networks Inc., and served as Chief Financial Officer of Rainmaker Systems, Inc. and FoodLink, and Vice President and Interim Chief Financial Officer of Southwall Technologies. Ms. Burak holds a Bachelor of Science in Business Administration and an MBA from San Jose State University. Our Board believes that Ms. Burak’s extensive experience as an executive, including as our Chief Executive Officer and Chief Financial Officer, and her successful experience in turning around small-cap companies qualify her to serve as a member of our Board.</w:t>
      </w:r>
    </w:p>
    <w:p>
      <w:pPr>
        <w:spacing w:after="0" w:line="276" w:lineRule="exact"/>
        <w:rPr>
          <w:sz w:val="20"/>
          <w:szCs w:val="20"/>
          <w:color w:val="auto"/>
        </w:rPr>
      </w:pPr>
    </w:p>
    <w:p>
      <w:pPr>
        <w:ind w:left="2260" w:hanging="939"/>
        <w:spacing w:after="0"/>
        <w:tabs>
          <w:tab w:leader="none" w:pos="2260" w:val="left"/>
        </w:tabs>
        <w:numPr>
          <w:ilvl w:val="0"/>
          <w:numId w:val="12"/>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OUR BOARD RECOMMENDS A VOTE “FOR” THE ELECTION OF EACH OF</w:t>
      </w:r>
    </w:p>
    <w:p>
      <w:pPr>
        <w:spacing w:after="0" w:line="1" w:lineRule="exact"/>
        <w:rPr>
          <w:rFonts w:ascii="Times New Roman" w:cs="Times New Roman" w:eastAsia="Times New Roman" w:hAnsi="Times New Roman"/>
          <w:sz w:val="36"/>
          <w:szCs w:val="36"/>
          <w:b w:val="1"/>
          <w:bCs w:val="1"/>
          <w:color w:val="auto"/>
          <w:vertAlign w:val="superscript"/>
        </w:rPr>
      </w:pPr>
    </w:p>
    <w:p>
      <w:pPr>
        <w:ind w:left="4180"/>
        <w:spacing w:after="0"/>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-320675</wp:posOffset>
            </wp:positionV>
            <wp:extent cx="521208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3771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Board has determined that each of J. Michael Dodson, Rahul Patel, and David Roberson is an independent director within the meaning of the director independence standards of The Nasdaq Stock Market LLC (“Nasdaq”). The Board has also determined that all of the members of the Audit Committee, Compensation Committee and Corporate Governance and Nominating Committee are independent directors and meet any other requirements for membership on those specific committees under applicable Nasdaq and SEC rules. Ms. Burak does not qualify as an independent director due to her current roles as Chief Executive Officer and Chief Financial Officer of the Company.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Board does not have a general policy regarding the separation of the roles of Chair and Chief Executive Officer. The Board believes that it should have the flexibility to make these determinations at any given time in the way that it believes best to provide appropriate leadership for the Company at that time. The Board has reviewed our current Board leadership structure in light of the composition of the Board, the size of the Company, the nature of our business and other relevant factors. We currently have a Chief Executive Officer and a separate Chair of the Board. The Board believes that having an independent Chair helps to ensure that management is subject to independent and objective oversight and that the independent directors have an active voice in the governance of the Company. Ms. Burak serves as our Chief Executive Officer and Chief Financial Officer. Mr. Roberson serves as the Chairman of the Board. The Company’s Office of the Chair, which was composed of Mr. Roberson and Ms. Burak and established in 2024, was dissolved effective December 11, 2025.</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Holder Communications with the Board of Directors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Security holders or other interested parties who wish to communicate directly with the Board, the independent directors of the Board or any individual member of the Board may do so by sending such communication by certified mail addressed to the Chair of the Board, as a representative of the entire Board, or to the individual director or directors, in each case, c/o Secretary, Energous Corporation, 3590 North First Street, Suite 330, San Jose, California 95134. Our Secretary reviews any such security holder communication and forwards relevant communications to the addressee.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Regarding Director Nominations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adopted a policy concerning director nominations, which is available at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www.energous.com and summarized below.</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Director Qualifications</w:t>
      </w:r>
    </w:p>
    <w:p>
      <w:pPr>
        <w:spacing w:after="0" w:line="16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Corporate Governance and Nominating Committee is responsible for identifying the appropriate qualifications, skills and characteristics desired of members of the Board in the context of the needs of the business and the current composition and needs of the Board.</w:t>
      </w:r>
    </w:p>
    <w:p>
      <w:pPr>
        <w:spacing w:after="0" w:line="95"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Director candidates are considered based upon a variety of criteria, including demonstrated business and professional skills and experiences relevant to our business and strategic direction, concern for long-term stockholder interests, and personal integrity and sound business judgment. The Board seeks members from diverse professional backgrounds who combine a broad spectrum of relevant industry and strategic experience and expertise that, in concert, offer us and our stockholders diversity of opinion and insight in the areas most important to us and our corporate mission. In addition, nominees for director are selected to have complementary, rather than overlapping, skill sets. However, the Corporate Governance and Nominating Committee does not have a formal policy concerning the diversity of the Board. All candidates for director nominee must have time available to devote to their service on the Board. The Corporate Governance and Nominating Committee also considers the independence of candidates for director nominee, including the appearance of any conflict in serving as a director. Candidates for director nominee who do not meet all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these criteria may still be considered for nomination to the Board if the Corporate Governance and Nominating Committee believes that the candidate will make an exceptional contribution to us and our stockholders.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Process for Identifying and Evaluating Director Nominees</w:t>
      </w:r>
    </w:p>
    <w:p>
      <w:pPr>
        <w:spacing w:after="0" w:line="160"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Board is responsible for selecting Board nominees for election by the stockholders. The Board delegates the selection process to the Corporate Governance and Nominating Committee, with the expectation that other members of the Board, and of management, may be requested to take part in the process as appropriate. Generally, the Corporate Governance and Nominating Committee identifies candidates for director nominees in consultation with management, through the use of search firms or other advisers, through the recommendations submitted by other directors or stockholders or through such other methods as the committee deems appropriate. Once candidates have been identified, the Corporate Governance and Nominating Committee confirms that the candidates meet the qualifications for director nominees established by the committee. The Corporate Governance and Nominating Committee may gather information about the candidates through interviews, detailed questionnaires, comprehensive background checks, or any other means that the committee deems to be helpful in the evaluation process. The Corporate Governance and Nominating Committee then meets as a group to discuss and evaluate the qualities and skills of each candidate, both on an individual basis and taking into account the overall composition and needs of the Board. Based on the results of the evaluation process, the Corporate Governance and Nominating Committee recommends candidates for Board approval as director nominees for election to the Board. The Corporate Governance and Nominating Committee also recommends candidates for Board appointment to Board committees.</w:t>
      </w:r>
    </w:p>
    <w:p>
      <w:pPr>
        <w:spacing w:after="0" w:line="200" w:lineRule="exact"/>
        <w:rPr>
          <w:sz w:val="20"/>
          <w:szCs w:val="20"/>
          <w:color w:val="auto"/>
        </w:rPr>
      </w:pP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Procedures for Recommendation of Director Nominees by Stockholders</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policy of the Corporate Governance and Nominating Committee is to consider properly submitted stockholder recommendations for director candidates. To submit a recommendation to the Corporate Governance and Nominating Committee for director nominee candidates, a stockholder must make such recommendation in writing and include:</w:t>
      </w:r>
    </w:p>
    <w:p>
      <w:pPr>
        <w:spacing w:after="0" w:line="72" w:lineRule="exact"/>
        <w:rPr>
          <w:sz w:val="20"/>
          <w:szCs w:val="20"/>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making the recommendation, as they appear on our books and records, and of such record holder’s beneficial owner, if any;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our equity securities that are owned beneficially and held of record by such stockholder and such beneficial owner including all “synthetic equity instruments” (e.g., derivatives, swaps, hedges, etc.), voting rights, rights to fees, dividends, or other material rights;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any agreements, arrangements or understandings (whether or not in writing) entered into between such stockholder or such beneficial owner and any other person for the purpose of acquiring, holding, disposing or voting of any shares of any class of our equity;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individual recommended for consideration as a director nominee;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recommended candidate that would be required to be disclosed in solicitations of proxies for the election of directors or is otherwise required, in each case pursuant to Regulation 14A under the Exchange Act, including the recommended candidate’s written consent to being named in the proxy statement as a nominee and to serving as a director if approved by the Board and elected.</w:t>
      </w:r>
    </w:p>
    <w:p>
      <w:pPr>
        <w:spacing w:after="0" w:line="10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Recommendations must be sent to the Chairperson of the Corporate Governance and Nominating Committee, c/o Secretary, Energous Corporation, 3590 North First Street, Suite 330, San Jose, California 95134. Our Secretary must receive any such recommendation for nomination not later than the close of business on the 90th day nor earlier than the close of business on the 120th day prior to the first anniversary of the date of the preceding year’s annual meeting of stockholders; provided, however, that with respect to a special meeting of stockholders called by us for the purpose of electing Board members, our Corporate Secretary must receive any such recommendation not earlier than the 90th day prior to such special meeting nor later than the later of (1) the close of business on the 60th day prior to such special meeting or (2) the close of business on the 10th day following the day on which a public announcement is first made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regarding such special meeting. The Secretary will promptly forward any such nominations to the Corporate Governance and Nominating Committee. Once the Corporate Governance and Nominating Committee receives a recommendation for a director candidate, such candidate will be evaluated in the same manner as other candidates and a recommendation with respect to such candidate will be delivered to the Board.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Policy Governing Director Attendance at Annual Meetings of Stockholders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While we do not have a formal policy governing director attendance at our annual meeting of stockholders, we do encourage our directors to attend. All of our Board members then serving attended the 2025 annual meeting of stockholders.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have in place a Code of Business Conduct and Ethics (“Code of Ethics”) that applies to all of our directors, officers and employees. The code of ethics is designed to deter wrongdoing and promote:</w:t>
      </w:r>
    </w:p>
    <w:p>
      <w:pPr>
        <w:spacing w:after="0" w:line="54" w:lineRule="exact"/>
        <w:rPr>
          <w:sz w:val="20"/>
          <w:szCs w:val="20"/>
          <w:color w:val="auto"/>
        </w:rPr>
      </w:pPr>
    </w:p>
    <w:p>
      <w:pPr>
        <w:ind w:left="1800" w:right="5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we file with, or submit to, the SEC and in other public communications that we make;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the Code of Ethics to an appropriate person identified in the Code of Ethics;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Ethics.</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current copy of the Code of Ethics is available at ir.energous.com. A copy may also be obtained, free of charge, from us, upon a request directed to Energous Corporation, 3590 North First Street, Suite 330, San Jose, California 95134, attention: Investor Relations. We intend to disclose any amendments to or waivers of a provision of the Code of Ethics by posting such information on our website available at ir.energous.com and/or in our public filings with the SEC.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Hedging Policy and Insider Trading Policy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insider trading policy prohibits our employees, officers, directors and consultants from engaging in hedging or monetization transactions involving our securities. Additionally, our insider trading policy prohibits our employees, officers, directors and consultants from engaging in transactions involving options, convertible debentures or other derivative securities on our securities, such as puts and calls, engaging in short sales of our securities, including short sales “against the box”, and using or pledging our securities as collateral in a margin account or as collateral for a loan.</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addition, our insider trading policy governs the purchase, sale, and other dispositions of our securities by our employees, officers, directors and consultants, as well as the Company itself, that we believe is reasonably designed to promote compliance with insider trading laws, rules and regulations, and Nasdaq listing standards.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and its Committees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48"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Second Amended and Restated Bylaws (“Bylaws”) state that the number of directors constituting the Board of Directors shall be determined by resolution of the Board, and that the Board has the authority to increase the number of directors, fill any vacancies on the Board and decrease the number of directors to eliminate any vacancies.</w:t>
      </w:r>
    </w:p>
    <w:p>
      <w:pPr>
        <w:spacing w:after="0" w:line="11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currently has three standing committees — a Compensation Committee, an Audit Committee and a Corporate Governance and Nominating Committee. Each standing committee has a charter that has been approved by the Board, a copy of which is available at the investor relations page 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our website www.energous.com. Each committee reviews the appropriateness of its charter annually and at such other interval as each committee determines. The Board and each of its standing committees has authority to engage its own advisors and consultants.</w:t>
      </w:r>
    </w:p>
    <w:p>
      <w:pPr>
        <w:spacing w:after="0" w:line="10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2025, our Board met four times, our Audit Committee met three times, our Compensation Committee met two times, and our Corporate Governance and Nominating Committee did not meet during 2025. In addition, during 2025, the Board and its committees held numerous informal discussions and acted by unanimous written consent in lieu of a meeting an aggregate of fourteen times. During 2025, all of our directors attended at least 75% of the aggregate meetings held by the Board of Directors and the Board committees on which they served.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current members of each Board committee: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Governance</w:t>
            </w:r>
          </w:p>
        </w:tc>
        <w:tc>
          <w:tcPr>
            <w:tcW w:w="4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4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Nominating</w:t>
            </w:r>
          </w:p>
        </w:tc>
        <w:tc>
          <w:tcPr>
            <w:tcW w:w="40" w:type="dxa"/>
            <w:vAlign w:val="bottom"/>
          </w:tcPr>
          <w:p>
            <w:pPr>
              <w:spacing w:after="0"/>
              <w:rPr>
                <w:sz w:val="14"/>
                <w:szCs w:val="14"/>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Committee </w:t>
            </w:r>
            <w:r>
              <w:rPr>
                <w:rFonts w:ascii="Times New Roman" w:cs="Times New Roman" w:eastAsia="Times New Roman" w:hAnsi="Times New Roman"/>
                <w:sz w:val="24"/>
                <w:szCs w:val="24"/>
                <w:b w:val="1"/>
                <w:bCs w:val="1"/>
                <w:color w:val="auto"/>
                <w:vertAlign w:val="subscript"/>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Committee </w:t>
            </w:r>
            <w:r>
              <w:rPr>
                <w:rFonts w:ascii="Times New Roman" w:cs="Times New Roman" w:eastAsia="Times New Roman" w:hAnsi="Times New Roman"/>
                <w:sz w:val="24"/>
                <w:szCs w:val="24"/>
                <w:b w:val="1"/>
                <w:bCs w:val="1"/>
                <w:color w:val="auto"/>
                <w:vertAlign w:val="subscript"/>
              </w:rPr>
              <w:t>​</w:t>
            </w:r>
          </w:p>
        </w:tc>
      </w:tr>
      <w:tr>
        <w:trPr>
          <w:trHeight w:val="25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-496570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-496570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-496570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Board has a separately designated standing Audit Committee established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3(a)(58) of the Exchange Act. Our Audit Committee currently consists of Mr. Dodson (Chair), Mr. Roberson and Mr. Patel. Each member of the Audit Committee is financially literate. The Board has determined that each current member of the Audit Committee is independent within the meaning of the Nasdaq director independence standards and applicable rules of the SEC for audit committee members. The Board has appointed Mr. Dodson as Chair of the Audit Committee and has determined that he qualifies as an “audit committee financial expert” under SEC rules. The Audit Committee is responsible for assisting the Board in fulfilling its oversight responsibilities with respect to financial reports and other financial information. The Audit Committee, among other things, (1) reviews, monitors and reports to the Board on the adequacy of our financial reporting process and system of internal control over financial reporting, (2) has the ultimate authority to select, evaluate and replace the independent auditor and is the ultimate authority to which the independent auditors are accountable, (3) in consultation with management, periodically reviews the adequacy of our disclosure controls and procedures and approves any significant changes thereto, (4) provides the audit committee report for inclusion in our proxy statement for our annual meeting of stockholders, and (5) recommends, establishes and monitors procedures for the receipt, retention and treatment of complaints relating to accounting, internal accounting controls or auditing matters and the receipt of confidential, anonymous submissions by employees of concerns regarding questionable accounting or auditing matters.</w:t>
      </w:r>
    </w:p>
    <w:p>
      <w:pPr>
        <w:spacing w:after="0" w:line="32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currently consists of Mr. Patel (Chair),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Dodson and Mr. Roberson. The Board has determined that each current member of the Compensation Committee is a non-employee director as defined in Rule 16b-3 under the Exchange Act and an independent director within the meaning of the Nasdaq director independence standards. The Compensation Committee, among other things, (1) discharges the responsibilities of the Board relating to the compensation of our directors and executive officers, (2) oversees our procedures for consideration and determination of executive and director compensation, and reviews and approves all executive compensation, and</w:t>
      </w:r>
    </w:p>
    <w:p>
      <w:pPr>
        <w:spacing w:after="0" w:line="6" w:lineRule="exact"/>
        <w:rPr>
          <w:sz w:val="20"/>
          <w:szCs w:val="20"/>
          <w:color w:val="auto"/>
        </w:rPr>
      </w:pPr>
    </w:p>
    <w:p>
      <w:pPr>
        <w:ind w:left="1260" w:right="599"/>
        <w:spacing w:after="0" w:line="243" w:lineRule="auto"/>
        <w:tabs>
          <w:tab w:leader="none" w:pos="15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and implements our incentive compensation plans and equity-based plans. The Compensation Committee may form, and delegate authority to, subcommittees when it deems appropriate.</w:t>
      </w:r>
    </w:p>
    <w:p>
      <w:pPr>
        <w:spacing w:after="0" w:line="114"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has the authority, in its sole discretion, to select and retain any compensation consultant to be used by the Company to assist with the execution of the Compensation Committee’s duties and responsibilities, or to engage independent counsel or other advisors as it deems necessary or appropriate to carry out its duties. The Compensation Committee did not engage a compensation consultant in 2025.</w:t>
      </w:r>
    </w:p>
    <w:p>
      <w:pPr>
        <w:spacing w:after="0" w:line="3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Corporate Governance and Nominating Committee</w:t>
      </w:r>
      <w:r>
        <w:rPr>
          <w:rFonts w:ascii="Times New Roman" w:cs="Times New Roman" w:eastAsia="Times New Roman" w:hAnsi="Times New Roman"/>
          <w:sz w:val="18"/>
          <w:szCs w:val="18"/>
          <w:color w:val="auto"/>
        </w:rPr>
        <w:t>. Our Corporate Governance and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currently consists of Mr. Roberson (Chair), Mr. Dodson and Mr. Patel. The Board has determined that each current member of the Corporate Governance and Nominating Committee is an independent director within the meaning of the Nasdaq director independence standards. The Corporate Governance and Nominating Committee, among other things, (1) recommends to the Board persons to serve as members of the Board and its committees, (2) considers any director nominees submitted by stockholders, (3) assists the Board in evaluating the performance of directors and Board committees,</w:t>
      </w:r>
    </w:p>
    <w:p>
      <w:pPr>
        <w:spacing w:after="0" w:line="5" w:lineRule="exact"/>
        <w:rPr>
          <w:sz w:val="20"/>
          <w:szCs w:val="20"/>
          <w:color w:val="auto"/>
        </w:rPr>
      </w:pPr>
    </w:p>
    <w:p>
      <w:pPr>
        <w:ind w:left="1260" w:right="479"/>
        <w:spacing w:after="0" w:line="255"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regarding the appropriate Board leadership structure, (5) reviews and makes recommendations to the Board on corporate governance and corporate responsibility and sustainability matters and (6) reviews Board size and composition and recommends any changes it deems advisable to the Board.</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in Risk Oversight</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Board administers its risk oversight function directly and through the Audit Committee. The Board and Audit Committee regularly discuss with management our major risk exposures, their potential financial impact on us, and steps to monitor and control those risks.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general, management is responsible for the day-to-day management of the risks the Company faces, while the Board, acting as a whole and through the Audit Committee, has responsibility for the oversight of risk management. In its risk oversight role, the Board has the responsibility to satisfy itself that the risk management processes designed and implemented by management are adequate and functioning as designed. Senior management attends the regular meetings of the Board and is available to address questions and concerns raised by the Board on risk management-related and other matters. This combination provides us with the focus, scope, expertise and continuous attention necessary for effective risk management.</w:t>
      </w:r>
    </w:p>
    <w:p>
      <w:pPr>
        <w:spacing w:after="0" w:line="324"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in fulfilling its oversight responsibilities with respect to risk management in the areas of financial reporting, internal controls, cybersecurity and compliance with legal and regulatory requirements. In addition, the Audit Committee discusses policies with respect to risk assessment and risk management with management and the independent auditors.</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assists the Board with oversight of risk management by reviewing the Company’s financial statements and meeting with the Company’s independent auditors at regularly scheduled meetings of the Audit Committee, to review their reports on the adequacy and effectiveness of our internal control systems, and discusses with management the Company’s major financial risks and exposures and the steps management has taken to monitor and control such risks and exposures.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our Compensation Committee assists our Board in fulfilling its oversight responsibilities with respect to the management of risks arising from our compensation policies and programs and periodically retains outside compensation and legal experts for that purpose. In establishing and reviewing our compensation philosophy and programs, we consider whether such programs encourage unnecessary or excessive risk taking. We believe that our executive compensation program does not encourage excessive or unnecessary risk taking or create risks that are reasonably likely to have a material adverse effect on us, primarily due to the fact that our compensation programs are designed to encourage our executive officers and other employees to remain focused on both short-term and long-term strategic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Compensation of our non-employee directors includes a cash component and an equity component. Employee directors are not compensated for serving on the Board. Ms. Burak did not receive any compensation as a director in 2025 because of her service as Chief Executive Officer and Chief Financial Officer.</w:t>
      </w:r>
    </w:p>
    <w:p>
      <w:pPr>
        <w:spacing w:after="0" w:line="105"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Each non-employee director receives cash compensation consisting of an annual retainer of $25,000, and the following annual amounts, as applicable:</w:t>
      </w:r>
    </w:p>
    <w:p>
      <w:pPr>
        <w:sectPr>
          <w:pgSz w:w="11900" w:h="16838" w:orient="portrait"/>
          <w:cols w:equalWidth="0" w:num="1">
            <w:col w:w="9879"/>
          </w:cols>
          <w:pgMar w:left="580" w:top="97" w:right="1440" w:bottom="1440" w:gutter="0" w:footer="0" w:header="0"/>
        </w:sectPr>
      </w:pP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Lead​ Independent Director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Compensation​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Corporate​ Governance and Nominating Committee Chair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Corporate​ Governance and Nominating Committee Member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​​$25,000​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​​$25,000​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​​$15,000​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​​$ 5,000​</w:t>
      </w:r>
    </w:p>
    <w:p>
      <w:pPr>
        <w:spacing w:after="0" w:line="171" w:lineRule="exact"/>
        <w:rPr>
          <w:sz w:val="20"/>
          <w:szCs w:val="20"/>
          <w:color w:val="auto"/>
        </w:rPr>
      </w:pPr>
    </w:p>
    <w:p>
      <w:pPr>
        <w:sectPr>
          <w:pgSz w:w="11900" w:h="16838" w:orient="portrait"/>
          <w:cols w:equalWidth="0" w:num="2">
            <w:col w:w="7620" w:space="720"/>
            <w:col w:w="1539"/>
          </w:cols>
          <w:pgMar w:left="580" w:top="97" w:right="1440" w:bottom="1440" w:gutter="0" w:footer="0" w:header="0"/>
          <w:type w:val="continuous"/>
        </w:sect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Each non-employee director receives equity compensation in the form of restricted stock units (“RSUs”) for shares of our common stock. Upon first appointment or election to the Board, each such director receives an initial RSU award. Each year, the director receives a refresh RSU award, which for 2025 was an RSU award for 42 shares (adjusted for the 1:30 reverse stock split effective August 11, 2025) that vests in a single installment on the first anniversary of the grant date, subject to the director’s continuous service until such vesting date. In addition, in 2025, the Chair of the Board received an RSU award equal to 33 shares that vests after one year. Beginning after January 2026 and in consideration of the 1:30 reverse stock split effective August 11, 2025, the annual Board grant will be RSUs equal to 2,395 shares for each non-employee director, with a capped value of $50,000. In addition, the Chair of the Board will receive an RSU award equal to 355 shares that vests after one year. Unvested equity compensation for directors accelerates upon a change of control. Equity awards under our non-employee director compensation policy are granted pursuant to our 2024 Equity Incentive Plan.</w:t>
      </w:r>
    </w:p>
    <w:p>
      <w:pPr>
        <w:spacing w:after="0" w:line="353"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compensation of each non-employee director who served on our Board during 2025:</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Cash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5"/>
                <w:szCs w:val="15"/>
                <w:b w:val="1"/>
                <w:bCs w:val="1"/>
                <w:color w:val="auto"/>
                <w:vertAlign w:val="superscript"/>
              </w:rPr>
              <w:t>(1)(2)</w:t>
            </w:r>
          </w:p>
        </w:tc>
        <w:tc>
          <w:tcPr>
            <w:tcW w:w="8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0"/>
        </w:trPr>
        <w:tc>
          <w:tcPr>
            <w:tcW w:w="4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Patel</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​​$55,000​​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​$1,225</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​​$56,225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​​$55,000​​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​​$56,225​</w:t>
            </w:r>
          </w:p>
        </w:tc>
      </w:tr>
      <w:tr>
        <w:trPr>
          <w:trHeight w:val="2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Roberson</w:t>
            </w:r>
            <w:r>
              <w:rPr>
                <w:rFonts w:ascii="Times New Roman" w:cs="Times New Roman" w:eastAsia="Times New Roman" w:hAnsi="Times New Roman"/>
                <w:sz w:val="23"/>
                <w:szCs w:val="23"/>
                <w:color w:val="auto"/>
                <w:vertAlign w:val="superscript"/>
              </w:rPr>
              <w:t>(2)</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​​$75,000​​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​$2,187</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​​$77,187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-513715</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-513715</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-513715</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559" w:hanging="360"/>
        <w:spacing w:after="0" w:line="258"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indicate the grant date fair value of RSUs computed in accordance with Financial Accounting Standards Board Accounting Standards Codification Topic 718 — Stock Compensation (“FASB ASC Topic 718”). For additional information regarding the assumptions made in calculating these amounts, see the notes to our audited financial statements included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73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stock awards and option awards outstanding as of December 31, 2025 and held by non-employee directors who served on the Board during 2025 were as follows (all of which were RSUs):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Subject to</w:t>
            </w:r>
          </w:p>
        </w:tc>
        <w:tc>
          <w:tcPr>
            <w:tcW w:w="4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 w:type="dxa"/>
            <w:vAlign w:val="bottom"/>
          </w:tcPr>
          <w:p>
            <w:pPr>
              <w:spacing w:after="0"/>
              <w:rPr>
                <w:sz w:val="14"/>
                <w:szCs w:val="14"/>
                <w:color w:val="auto"/>
              </w:rPr>
            </w:pPr>
          </w:p>
        </w:tc>
      </w:tr>
      <w:tr>
        <w:trPr>
          <w:trHeight w:val="214"/>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4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40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24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-496570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REGISTERED PUBLIC</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139"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BPM as our independent registered public accounting firm for the fiscal year ending December 31, 2026. BPM has served as our independent registered public accounting firm since April 2024. Representatives of BPM are expected to attend the Annual Meeting, where they will be available to respond to appropriate questions and, if they desire, to make a statement.</w:t>
      </w:r>
    </w:p>
    <w:p>
      <w:pPr>
        <w:spacing w:after="0" w:line="33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Although it is not required to do so, the Board is submitting the Audit Committee’s retention of BPM as the Company’s independent registered public accounting firm for ratification by stockholders at the meeting to ascertain the view of our stockholders regarding such selection. If our stockholders fail to ratify the selection of BPM as the independent registered public accounting firm for 2026, the Audit Committee will reconsider whether to retain the firm. Even if the selection is ratified, the Audit Committee may, in its discretion, direct the appointment of a different independent registered public accounting firm at any time during the year.</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Fees billed by BPM in fiscal years 2024 and 2025 were as follows: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Fee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360" w:val="left"/>
          <w:tab w:leader="none" w:pos="900" w:val="left"/>
          <w:tab w:leader="none" w:pos="1260" w:val="left"/>
          <w:tab w:leader="none" w:pos="17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​​$420,619​​ ​​$338,966​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20" w:type="dxa"/>
            <w:vAlign w:val="bottom"/>
            <w:gridSpan w:val="3"/>
          </w:tcPr>
          <w:p>
            <w:pPr>
              <w:ind w:left="1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0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$420,619</w:t>
      </w: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$338,966</w:t>
      </w:r>
      <w:r>
        <w:rPr>
          <w:rFonts w:ascii="Times New Roman" w:cs="Times New Roman" w:eastAsia="Times New Roman" w:hAnsi="Times New Roman"/>
          <w:sz w:val="34"/>
          <w:szCs w:val="34"/>
          <w:color w:val="auto"/>
          <w:vertAlign w:val="subscript"/>
        </w:rPr>
        <w:t>​</w:t>
      </w:r>
    </w:p>
    <w:p>
      <w:pPr>
        <w:spacing w:after="0" w:line="200" w:lineRule="exact"/>
        <w:rPr>
          <w:sz w:val="20"/>
          <w:szCs w:val="20"/>
          <w:color w:val="auto"/>
        </w:rPr>
      </w:pPr>
    </w:p>
    <w:p>
      <w:pPr>
        <w:sectPr>
          <w:pgSz w:w="11900" w:h="16838" w:orient="portrait"/>
          <w:cols w:equalWidth="0" w:num="2">
            <w:col w:w="6660" w:space="660"/>
            <w:col w:w="2559"/>
          </w:cols>
          <w:pgMar w:left="580" w:top="97" w:right="1440" w:bottom="1440" w:gutter="0" w:footer="0" w:header="0"/>
          <w:type w:val="continuous"/>
        </w:sectPr>
      </w:pPr>
    </w:p>
    <w:p>
      <w:pPr>
        <w:spacing w:after="0" w:line="133" w:lineRule="exact"/>
        <w:rPr>
          <w:sz w:val="20"/>
          <w:szCs w:val="20"/>
          <w:color w:val="auto"/>
        </w:rPr>
      </w:pPr>
    </w:p>
    <w:p>
      <w:pPr>
        <w:ind w:left="1620" w:right="79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professional services rendered for the audit of our annual financial statements, quarterly reviews, consents and assistance with and review of documents filed with the SEC (including registration statements and related prospectuses).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adopted a policy that requires that all services provided by the Company’s independent public accounting firm, including audit services and permitted non-audit services, be pre-approved by the Audit Committee. All audit and permitted non-audit services provided by BPM during 2024 and 2025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196" w:lineRule="exact"/>
        <w:rPr>
          <w:sz w:val="20"/>
          <w:szCs w:val="20"/>
          <w:color w:val="auto"/>
        </w:rPr>
      </w:pPr>
    </w:p>
    <w:p>
      <w:pPr>
        <w:jc w:val="both"/>
        <w:ind w:left="1360" w:right="539"/>
        <w:spacing w:after="0" w:line="268" w:lineRule="auto"/>
        <w:rPr>
          <w:sz w:val="20"/>
          <w:szCs w:val="20"/>
          <w:color w:val="auto"/>
        </w:rPr>
      </w:pPr>
      <w:r>
        <w:rPr>
          <w:rFonts w:ascii="Times New Roman" w:cs="Times New Roman" w:eastAsia="Times New Roman" w:hAnsi="Times New Roman"/>
          <w:sz w:val="18"/>
          <w:szCs w:val="18"/>
          <w:b w:val="1"/>
          <w:bCs w:val="1"/>
          <w:color w:val="auto"/>
        </w:rPr>
        <w:t>OUR BOARD RECOMMENDS A VOTE “FOR” THE RATIFICATION OF THE APPOINTMENT OF BPM LLP AS OUR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6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APPROVAL OF THE ENERGOUS CORPORATION AMENDED AND RESTATED 2024 EQUITY INCENTIVE PLAN</w:t>
      </w:r>
    </w:p>
    <w:p>
      <w:pPr>
        <w:spacing w:after="0" w:line="9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our Amended and Restated 2024 Equity Incentive Plan to increase the number of shares of our common stock authorized for issuance thereunder from 81,866 shares to 381,866 shares (as amended and restated, the “2024 Plan”).</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share increase to the 2024 Plan, the only other amendment to the 2024 Plan is the removal of the limit on the maximum number of shares that may be granted under different award types to a single grantee in a calendar year, in order to provide our Compensation Committee with the appropriate flexibility to grant equity awards in amounts it deems advisable to attract, retain and incentivize our service providers. Certain RSUs granted in January 2026 to our directors, executive officers and certain other employees of the Company are subject to stockholder approval of the 2024 Plan as the grant amounts exceed the current share limits in the equity plan, as described below under “New Plan Benefits.” If the stockholders do not approve the 2024 Plan, those grants will be automatically cancelled.</w:t>
      </w:r>
    </w:p>
    <w:p>
      <w:pPr>
        <w:spacing w:after="0" w:line="11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Board adopted the 2024 Plan, including the amendments thereto, subject to stockholder approval, on April 19, 2026.</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Subject to stockholder approval, the 2024 Plan will become effective as of the date of the Annual Meeting.</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the Compensation Committee believe that the 2024 Plan is a key part of the Company’s compensation philosophy and programs. The 2024 Plan is intended to attract and retain key talent, provide employees with a stake in the Company’s success, and align our team with long-term stockholder value creation. The technology market in which we operate is highly competitive for talent at all levels of our organization, and our ability to attract, retain and motivate highly qualified officers, non-employee directors, key employees, consultants and advisors is critical to our success. We typically grant equity awards to all levels of employees at the Company. The Board and the Compensation Committee believe that the interests of the Company and its stockholders will be advanced by the share increase so that we can continue to offer our officers, non-employee directors, key employees, consultants and advisors the opportunity to acquire or increase a direct proprietary interest in the operations and future success of the Company.</w:t>
      </w:r>
    </w:p>
    <w:p>
      <w:pPr>
        <w:spacing w:after="0" w:line="32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of April 16, 2026, 17,919 shares of our common stock remained available for future grants under the 2024 Plan. As of April 16, 2026, 69,275 shares were subject to outstanding RSUs under the 2024 Plan (including 28,750 shares subject to RSUs that are contingent on stockholder approval of the 2024 Plan) and no stock options or other award types were outstanding under the 2024 Plan.</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As of April 16, 2026, 88 shares were subject to outstanding RSUs under the Prior Plans (as defined below) and no shares were subject to outstanding stock options under the Prior Plans. Only RSUs are outstanding under the Prior Plans. The Prior Plans were terminated in connection with stockholder approval of the initial 2024 Plan at the 2024 Annual Meeting of Stockholders. The Prior Plans were our (i) 2013 Equity Incentive Plan, (ii) 2014 Non-Employee Equity Compensation Plan, (iii) Performance Share Unit Plan and (iv) 2017 Equity Inducement Plan (the “2017 Plan”).</w:t>
      </w:r>
    </w:p>
    <w:p>
      <w:pPr>
        <w:spacing w:after="0" w:line="12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newly requested 300,000 shares, the following shares from the Prior Plans previously approved by our stockholders are available for issuance under the 2024 Plan, up to an aggregate maximum of 9,656 shares as of the date of initial stockholder approval of the 2024 Plan at the 2024 Annual Meeting of Shareholders (which number is 88 shares as of April 16, 2026) (the “Roll-In Shares”):</w:t>
      </w:r>
    </w:p>
    <w:p>
      <w:pPr>
        <w:spacing w:after="0" w:line="72" w:lineRule="exact"/>
        <w:rPr>
          <w:sz w:val="20"/>
          <w:szCs w:val="20"/>
          <w:color w:val="auto"/>
        </w:rPr>
      </w:pPr>
    </w:p>
    <w:p>
      <w:pPr>
        <w:ind w:left="1800" w:right="6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remaining available for issuance under the Prior Plans as new awards, other than under the 2017 Plan, as of the date of initial stockholder approval of the 2024 Plan;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subject to outstanding awards under the Prior Plans on the date of initial stockholder approval of the 2024 Plan, other than under the 2017 Plan, that expire or terminate without being settled in shares on or after the date of initial stockholder approval of the 2024 Plan.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as of April 16, 2026:</w:t>
      </w:r>
    </w:p>
    <w:p>
      <w:pPr>
        <w:spacing w:after="0" w:line="198" w:lineRule="exact"/>
        <w:rPr>
          <w:sz w:val="20"/>
          <w:szCs w:val="20"/>
          <w:color w:val="auto"/>
        </w:rPr>
      </w:pPr>
    </w:p>
    <w:p>
      <w:pPr>
        <w:ind w:left="1800" w:hanging="179"/>
        <w:spacing w:after="0" w:line="261" w:lineRule="auto"/>
        <w:rPr>
          <w:sz w:val="20"/>
          <w:szCs w:val="20"/>
          <w:color w:val="auto"/>
        </w:rPr>
      </w:pPr>
      <w:r>
        <w:rPr>
          <w:rFonts w:ascii="Times New Roman" w:cs="Times New Roman" w:eastAsia="Times New Roman" w:hAnsi="Times New Roman"/>
          <w:sz w:val="18"/>
          <w:szCs w:val="18"/>
          <w:color w:val="auto"/>
        </w:rPr>
        <w:t>Total number of shares subject to outstanding RSUs (the only award type outstanding under our equity plans, of which 23,750 RSUs are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-273685</wp:posOffset>
            </wp:positionV>
            <wp:extent cx="474916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  of the 2024 Plan):</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number of shares remaining available for new grants under the 2024 Plan (the</w:t>
      </w:r>
    </w:p>
    <w:p>
      <w:pPr>
        <w:spacing w:after="0" w:line="2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plan under which equity awards may currently be granted):</w:t>
      </w:r>
    </w:p>
    <w:p>
      <w:pPr>
        <w:spacing w:after="0" w:line="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share increase:</w:t>
      </w:r>
    </w:p>
    <w:p>
      <w:pPr>
        <w:spacing w:after="0" w:line="5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-310515</wp:posOffset>
            </wp:positionV>
            <wp:extent cx="474916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69,275​</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17,919​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300,000​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5,501,099​</w:t>
      </w:r>
    </w:p>
    <w:p>
      <w:pPr>
        <w:spacing w:after="0" w:line="139" w:lineRule="exact"/>
        <w:rPr>
          <w:sz w:val="20"/>
          <w:szCs w:val="20"/>
          <w:color w:val="auto"/>
        </w:rPr>
      </w:pPr>
    </w:p>
    <w:p>
      <w:pPr>
        <w:sectPr>
          <w:pgSz w:w="11900" w:h="16838" w:orient="portrait"/>
          <w:cols w:equalWidth="0" w:num="2">
            <w:col w:w="8060" w:space="140"/>
            <w:col w:w="1679"/>
          </w:cols>
          <w:pgMar w:left="580" w:top="97" w:right="1440" w:bottom="1440" w:gutter="0" w:footer="0" w:header="0"/>
          <w:type w:val="continuous"/>
        </w:sect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and the Board determined the number of newly requested shares based on a review of our historical equity grant practices, anticipated future grants, the recent trading price of our common stock and the percentage of our fully diluted common stock that the newly requested shares would represent, which was approximately 5%. We currently anticipate that if the share increase to the 2024 Plan is approved by our stockholders, the number of shares reserved for awards under the 2024 Plan will be sufficient to cover our equity awards for the next two years. We believe our historical burn rate is reasonable for a company of our size in our industry. Our future burn rate will depend on a number of factors, including the number of participants in the 2024 Plan, the price per share of our common stock, any changes to our compensation strategy, changes in business practices or industry standards, changes in the compensation practices of our competitors and the competitive landscape for recruiting and retaining talent, or changes in compensation practices in the market generally, and the methodology used to establish the equity award mix.</w:t>
      </w:r>
    </w:p>
    <w:p>
      <w:pPr>
        <w:spacing w:after="0" w:line="32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our stockholders do not approve the share increase to the 2024 Plan, the 2024 Plan will remain in effect with its current terms and conditions and with its current number of shares reserved for issuance, and the RSU grants that are subject to stockholder approval of the 2024 Plan will be automatically cancelled. However, the Company likely will not be able to meet its anticipated equity incentive grant needs for employees and directors, based on the remaining share reserve under the 2024 Plan, which could have a detrimental effect on the Company. Our executive officers and directors have an interest in this proposal because they are eligible to receive awards under the 2024 Plan.</w:t>
      </w:r>
    </w:p>
    <w:p>
      <w:pPr>
        <w:spacing w:after="0" w:line="11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As of April 20, 2026, the closing price of our common stock as quoted on The Nasdaq Capital Market was $26.07 per share.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Aspects of the 2024 Plan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2024 Plan has been designed to include a number of provisions that promote best practices by reinforcing the alignment between equity compensation arrangements for eligible service providers and our stockholders’ interests. These provisions include, but are not limited to, the following:</w:t>
      </w:r>
    </w:p>
    <w:p>
      <w:pPr>
        <w:spacing w:after="0" w:line="57" w:lineRule="exact"/>
        <w:rPr>
          <w:sz w:val="20"/>
          <w:szCs w:val="20"/>
          <w:color w:val="auto"/>
        </w:rPr>
      </w:pPr>
    </w:p>
    <w:p>
      <w:pPr>
        <w:ind w:left="1800" w:right="519" w:hanging="180"/>
        <w:spacing w:after="0" w:line="268"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Re-Use of Shares</w:t>
      </w:r>
      <w:r>
        <w:rPr>
          <w:rFonts w:ascii="Times New Roman" w:cs="Times New Roman" w:eastAsia="Times New Roman" w:hAnsi="Times New Roman"/>
          <w:sz w:val="18"/>
          <w:szCs w:val="18"/>
          <w:color w:val="auto"/>
        </w:rPr>
        <w:t>. Shares tendered or withheld to pay the exercise price or purchase price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(including under stock-settled stock appreciation rights) and shares withheld to pay taxes under awards are not eligible for re-use under the 2024 Plan.</w:t>
      </w:r>
    </w:p>
    <w:p>
      <w:pPr>
        <w:spacing w:after="0" w:line="62" w:lineRule="exact"/>
        <w:rPr>
          <w:rFonts w:ascii="Times New Roman" w:cs="Times New Roman" w:eastAsia="Times New Roman" w:hAnsi="Times New Roman"/>
          <w:sz w:val="18"/>
          <w:szCs w:val="18"/>
          <w:color w:val="auto"/>
        </w:rPr>
      </w:pPr>
    </w:p>
    <w:p>
      <w:pPr>
        <w:ind w:left="1800" w:right="459" w:hanging="180"/>
        <w:spacing w:after="0" w:line="28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Forfeiture upon For Cause Termination</w:t>
      </w:r>
      <w:r>
        <w:rPr>
          <w:rFonts w:ascii="Times New Roman" w:cs="Times New Roman" w:eastAsia="Times New Roman" w:hAnsi="Times New Roman"/>
          <w:sz w:val="18"/>
          <w:szCs w:val="18"/>
          <w:color w:val="auto"/>
        </w:rPr>
        <w:t>. All plan awards held by a participant may be annulled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upon the participant’s termination for cause.</w:t>
      </w:r>
    </w:p>
    <w:p>
      <w:pPr>
        <w:spacing w:after="0" w:line="33" w:lineRule="exact"/>
        <w:rPr>
          <w:rFonts w:ascii="Times New Roman" w:cs="Times New Roman" w:eastAsia="Times New Roman" w:hAnsi="Times New Roman"/>
          <w:sz w:val="18"/>
          <w:szCs w:val="18"/>
          <w:color w:val="auto"/>
        </w:rPr>
      </w:pPr>
    </w:p>
    <w:p>
      <w:pPr>
        <w:jc w:val="both"/>
        <w:ind w:left="1800" w:right="759" w:hanging="180"/>
        <w:spacing w:after="0" w:line="26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Discounted Stock Options or Discounted Stock Appreciation Rights (“SARs”)</w:t>
      </w:r>
      <w:r>
        <w:rPr>
          <w:rFonts w:ascii="Times New Roman" w:cs="Times New Roman" w:eastAsia="Times New Roman" w:hAnsi="Times New Roman"/>
          <w:sz w:val="18"/>
          <w:szCs w:val="18"/>
          <w:color w:val="auto"/>
        </w:rPr>
        <w:t>. Stock options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SARs may not be granted with exercise prices lower than the fair market value of the underlying shares on the grant date (with a limited exception for options or SARs we assume or substitute in acquisition transactions).</w:t>
      </w:r>
    </w:p>
    <w:p>
      <w:pPr>
        <w:spacing w:after="0" w:line="68" w:lineRule="exact"/>
        <w:rPr>
          <w:rFonts w:ascii="Times New Roman" w:cs="Times New Roman" w:eastAsia="Times New Roman" w:hAnsi="Times New Roman"/>
          <w:sz w:val="18"/>
          <w:szCs w:val="18"/>
          <w:color w:val="auto"/>
        </w:rPr>
      </w:pPr>
    </w:p>
    <w:p>
      <w:pPr>
        <w:ind w:left="1800" w:right="439" w:hanging="180"/>
        <w:spacing w:after="0" w:line="26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Repricing without Stockholder Approval</w:t>
      </w:r>
      <w:r>
        <w:rPr>
          <w:rFonts w:ascii="Times New Roman" w:cs="Times New Roman" w:eastAsia="Times New Roman" w:hAnsi="Times New Roman"/>
          <w:sz w:val="18"/>
          <w:szCs w:val="18"/>
          <w:color w:val="auto"/>
        </w:rPr>
        <w:t>. Other than in connection with a change 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capitalization, the Company will not, without stockholder approval, reduce the exercise price of a stock option or SAR and will not exchange such stock option or SAR for a new award with a lower (or no) purchase price or for cash.</w:t>
      </w:r>
    </w:p>
    <w:p>
      <w:pPr>
        <w:spacing w:after="0" w:line="68" w:lineRule="exact"/>
        <w:rPr>
          <w:rFonts w:ascii="Times New Roman" w:cs="Times New Roman" w:eastAsia="Times New Roman" w:hAnsi="Times New Roman"/>
          <w:sz w:val="18"/>
          <w:szCs w:val="18"/>
          <w:color w:val="auto"/>
        </w:rPr>
      </w:pPr>
    </w:p>
    <w:p>
      <w:pPr>
        <w:ind w:left="1800" w:right="659" w:hanging="180"/>
        <w:spacing w:after="0" w:line="28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Transferability</w:t>
      </w:r>
      <w:r>
        <w:rPr>
          <w:rFonts w:ascii="Times New Roman" w:cs="Times New Roman" w:eastAsia="Times New Roman" w:hAnsi="Times New Roman"/>
          <w:sz w:val="18"/>
          <w:szCs w:val="18"/>
          <w:color w:val="auto"/>
        </w:rPr>
        <w:t>. Awards generally may not be transferred, except by will or the laws of descent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distribution, unless approved by the Compensation Committee.</w:t>
      </w: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1079" w:hanging="180"/>
        <w:spacing w:after="0" w:line="28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Plan awards are subject to clawback under our Company clawback policy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laws requiring the clawback of compensation.</w:t>
      </w:r>
    </w:p>
    <w:p>
      <w:pPr>
        <w:spacing w:after="0" w:line="33" w:lineRule="exact"/>
        <w:rPr>
          <w:rFonts w:ascii="Times New Roman" w:cs="Times New Roman" w:eastAsia="Times New Roman" w:hAnsi="Times New Roman"/>
          <w:sz w:val="18"/>
          <w:szCs w:val="18"/>
          <w:color w:val="auto"/>
        </w:rPr>
      </w:pPr>
    </w:p>
    <w:p>
      <w:pPr>
        <w:ind w:left="1800" w:right="799" w:hanging="180"/>
        <w:spacing w:after="0" w:line="28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Evergreen Provision</w:t>
      </w:r>
      <w:r>
        <w:rPr>
          <w:rFonts w:ascii="Times New Roman" w:cs="Times New Roman" w:eastAsia="Times New Roman" w:hAnsi="Times New Roman"/>
          <w:sz w:val="18"/>
          <w:szCs w:val="18"/>
          <w:color w:val="auto"/>
        </w:rPr>
        <w:t>. The plan does not contain an “evergreen” feature pursuant to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authorized for issuance will be automatically replenished.</w:t>
      </w:r>
    </w:p>
    <w:p>
      <w:pPr>
        <w:spacing w:after="0" w:line="3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Automatic Grants</w:t>
      </w:r>
      <w:r>
        <w:rPr>
          <w:rFonts w:ascii="Times New Roman" w:cs="Times New Roman" w:eastAsia="Times New Roman" w:hAnsi="Times New Roman"/>
          <w:sz w:val="18"/>
          <w:szCs w:val="18"/>
          <w:color w:val="auto"/>
        </w:rPr>
        <w:t>.  The plan does not provide for automatic grants to any participant.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Tax Gross-Ups</w:t>
      </w:r>
      <w:r>
        <w:rPr>
          <w:rFonts w:ascii="Times New Roman" w:cs="Times New Roman" w:eastAsia="Times New Roman" w:hAnsi="Times New Roman"/>
          <w:sz w:val="18"/>
          <w:szCs w:val="18"/>
          <w:color w:val="auto"/>
        </w:rPr>
        <w:t>.  The plan does not provide for any tax gross-ups.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57"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Multiple Award Types</w:t>
      </w:r>
      <w:r>
        <w:rPr>
          <w:rFonts w:ascii="Times New Roman" w:cs="Times New Roman" w:eastAsia="Times New Roman" w:hAnsi="Times New Roman"/>
          <w:sz w:val="18"/>
          <w:szCs w:val="18"/>
          <w:color w:val="auto"/>
        </w:rPr>
        <w:t>. The plan permits the issuance of incentive stock options, nonqualified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stock appreciation rights, restricted stock units, restricted and unrestricted stock awards, performance share units and other types of equity and cash grants, subject to the share limits of the 2024 Plan. This breadth of award types enables the Compensation Committee to tailor awards in light of the accounting, tax and other standards applicable at the time of grant. Historically, these standards have changed over time.</w:t>
      </w:r>
    </w:p>
    <w:p>
      <w:pPr>
        <w:spacing w:after="0" w:line="60" w:lineRule="exact"/>
        <w:rPr>
          <w:rFonts w:ascii="Times New Roman" w:cs="Times New Roman" w:eastAsia="Times New Roman" w:hAnsi="Times New Roman"/>
          <w:sz w:val="18"/>
          <w:szCs w:val="18"/>
          <w:color w:val="auto"/>
        </w:rPr>
      </w:pPr>
    </w:p>
    <w:p>
      <w:pPr>
        <w:ind w:left="1800" w:right="459" w:hanging="180"/>
        <w:spacing w:after="0" w:line="28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No dividends or dividend equivalents are paid on stock options, SARs or unearned 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performance shares.</w:t>
      </w:r>
    </w:p>
    <w:p>
      <w:pPr>
        <w:spacing w:after="0" w:line="1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Independent Oversight</w:t>
      </w:r>
      <w:r>
        <w:rPr>
          <w:rFonts w:ascii="Times New Roman" w:cs="Times New Roman" w:eastAsia="Times New Roman" w:hAnsi="Times New Roman"/>
          <w:sz w:val="18"/>
          <w:szCs w:val="18"/>
          <w:color w:val="auto"/>
        </w:rPr>
        <w:t>.  The plan is administered by a committee of independent Board members.</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 and Other Limits</w:t>
      </w:r>
      <w:r>
        <w:rPr>
          <w:rFonts w:ascii="Times New Roman" w:cs="Times New Roman" w:eastAsia="Times New Roman" w:hAnsi="Times New Roman"/>
          <w:sz w:val="18"/>
          <w:szCs w:val="18"/>
          <w:color w:val="auto"/>
        </w:rPr>
        <w:t>. The plan contains annual limits on the amount or value of awards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granted to non-employee directors and other participants.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Features of the 2024 Plan</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material terms of the 2024 Plan are summarized below. This summary is not intended to be a complete description of the 2024 Plan and is qualified in its entirety by the actual text of the 2024 Plan,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Awards may be granted under the 2024 Plan to officers, employees, non-employee directors, consultants and advisors of the Company and its affiliates. Incentive stock options may be granted only to employees of the Company or its subsidiaries. As of April 16, 2026, approximately 27 employees, including two executive officers, and three non-employee directors are eligible to receive grants under the 2024 Plan.</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2024 Plan may be administered by the Board or the Compensation Committee. Subject to the terms of the 2024 Plan, the Compensation Committee, in its discretion, selects the individuals to whom awards may be granted, the time or times when such awards are granted and the terms and conditions of such awards. The Compensation Committee is also authorized to interpret and construe the 2024 Plan and award agreements issued thereunder and to establish such rules and regulations as it determines appropriate for the proper administration of the 2024 Plan.</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Number of Authorized Shares</w:t>
      </w:r>
    </w:p>
    <w:p>
      <w:pPr>
        <w:spacing w:after="0" w:line="14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number of newly requested shares of common stock for the 2024 Plan is 300,000 shares. This amount will be added to the current fixed share reserve of 81,866 shares for an aggregate share reserve of 381,866 shares under the 2024 Plan.</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addition, the Roll-In Shares described above under “Overview” in this proposal are available for issuance under the 2024 Plan from the Prior Plans, other than the 2017 Plan, up to a maximum of 88 shares as of April 16, 2026. The Roll-In Shares were previously approved by our stockholders. Shares issuable under the 2024 Plan are subject to adjustment as set forth in the 2024 Plan and as described below under “Adjustments.”</w:t>
      </w:r>
    </w:p>
    <w:p>
      <w:pPr>
        <w:spacing w:after="0" w:line="322"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Any shares surrendered or tendered in payment of the option price or the purchase price of an award or any taxes required to be withheld in respect of an award will count against the number of shares of common stock available for grant under the 2024 Plan and will not be eligible for re-use under the 2024 Plan.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any award granted under the 2024 Plan is canceled, terminates, expires or lapses for any reason prior to the issuance of shares thereunder or if shares are issued under an award and thereafter are forfeited to the Company, the shares subject to such awards and the forfeited shares will again become available for grant under the 2024 Plan. In addition, the following items will not count against the aggregate number of shares of common stock available for grant under the 2024 Plan: (i) any award that is settled in cash rather than by issuance of shares of common stock and (ii) awards granted in assumption of or in substitution for awards previously granted by an acquired company.</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Shares issuable under the 2024 Plan may consist of authorized but unissued shares, treasury shares or shares purchased on the open market or otherwise.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 to 15,200 shares may be issued as incentive stock options (as described below) under the 2024 Plan.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Limits on Awards to Non-Employee Directors; Other Limits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maximum value of plan awards granted during any calendar year to any non-employee director, taken together with any cash fees paid to such non-employee director during the calendar year and the value of awards granted to the non-employee director under any other equity compensation plan of the Company or an affiliate during the calendar year, may not exceed the following in total value: (i) $500,000 for the Chair of the Board and (ii) $ 300,000 for each non-employee director other than the Chair of the Board. However, awards granted to non-employee directors upon their initial election to the Board or the board of directors of an affiliate will not be counted towards this limit. Any awards that are scheduled to vest over a period of more than one calendar year will be applied pro rata for purposes of the foregoing limit based on the number of years over which such awards are scheduled to vest. For purposes of these grants, the value of any awards is to be calculated based on the average of the closing trading prices of the common stock on the principal stock exchange for such common stock during the 30 consecutive trading days immediately preceding the grant date of the award.</w:t>
      </w:r>
    </w:p>
    <w:p>
      <w:pPr>
        <w:spacing w:after="0" w:line="32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No participant may be granted in any single calendar year cash -based annual incentive awards that exceed $1 million in value or other performance-based cash awards that exceed $1 million in value.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Subject to any required action by our stockholders, in the event of any change in our common stock effected without the receipt of consideration by us, whether through merger, consolidation, reorganization, reincorporation, recapitalization, reclassification, stock dividend, stock split, reverse stock split, split-up, split-off, spin-off, combination of shares, exchange of shares or similar change in our capital structure, or in the event of payment of a dividend or distribution to our stockholders in a form other than our common stock (excepting normal cash dividends) that has a material effect on the fair market value of our common stock, appropriate and proportionate adjustments will be made in the number and class of shares subject to the 2024 Plan and to any outstanding awards, and to the purchase price per share of any outstanding awards in order to prevent dilution or enlargement of participant rights under the 2024 Plan.</w:t>
      </w:r>
    </w:p>
    <w:p>
      <w:pPr>
        <w:spacing w:after="0" w:line="11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If a majority of our shares of common stock are exchanged for, converted into, or otherwise become shares of another corporation, the Compensation Committee may unilaterally amend outstanding awards under the 2024 Plan to provide that such awards are for new shares. In such event, the number of shares subject to, and the purchase price per share of, the outstanding awards will be adjusted in a fair and equitable manner as determined by the Compensation Committee. The Compensation Committee may also make such adjustments in the terms of any award to reflect changes in our capital structure or distributions as it deems appropriate.</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2024 Plan permits the grant of any or all of the following types of awards:</w:t>
      </w:r>
    </w:p>
    <w:p>
      <w:pPr>
        <w:spacing w:after="0" w:line="102" w:lineRule="exact"/>
        <w:rPr>
          <w:sz w:val="20"/>
          <w:szCs w:val="20"/>
          <w:color w:val="auto"/>
        </w:rPr>
      </w:pPr>
    </w:p>
    <w:p>
      <w:pPr>
        <w:ind w:left="1800" w:right="43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entitle the holder to purchase a specified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specified price (the exercise price), subject to the terms and conditions of the stock option grant. The Compensation Committee may grant either incentive stock options, which must comply with Section 422 of the U.S. Internal Revenue Code (“Code”), or nonqualified stock</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3" w:lineRule="auto"/>
        <w:rPr>
          <w:sz w:val="20"/>
          <w:szCs w:val="20"/>
          <w:color w:val="auto"/>
        </w:rPr>
      </w:pPr>
      <w:r>
        <w:rPr>
          <w:rFonts w:ascii="Times New Roman" w:cs="Times New Roman" w:eastAsia="Times New Roman" w:hAnsi="Times New Roman"/>
          <w:sz w:val="18"/>
          <w:szCs w:val="18"/>
          <w:color w:val="auto"/>
        </w:rPr>
        <w:t>options. The Compensation Committee sets exercise prices and terms and conditions, except that stock options must be granted with an exercise price not less than 100% of the fair market value of our common stock on the date of grant (excluding stock options granted in connection with assuming or substituting stock options in acquisition transactions). Unless the Compensation Committee determines otherwise, fair market value means, as of a given date, the closing price of our common stock. At the time of grant, the Compensation Committee determines the terms and conditions of stock options, including the quantity, exercise price, vesting periods, term (which cannot exceed</w:t>
      </w:r>
    </w:p>
    <w:p>
      <w:pPr>
        <w:spacing w:after="0" w:line="3" w:lineRule="exact"/>
        <w:rPr>
          <w:sz w:val="20"/>
          <w:szCs w:val="20"/>
          <w:color w:val="auto"/>
        </w:rPr>
      </w:pPr>
    </w:p>
    <w:p>
      <w:pPr>
        <w:ind w:left="1800" w:right="459"/>
        <w:spacing w:after="0" w:line="255" w:lineRule="auto"/>
        <w:rPr>
          <w:sz w:val="20"/>
          <w:szCs w:val="20"/>
          <w:color w:val="auto"/>
        </w:rPr>
      </w:pPr>
      <w:r>
        <w:rPr>
          <w:rFonts w:ascii="Times New Roman" w:cs="Times New Roman" w:eastAsia="Times New Roman" w:hAnsi="Times New Roman"/>
          <w:sz w:val="18"/>
          <w:szCs w:val="18"/>
          <w:color w:val="auto"/>
        </w:rPr>
        <w:t>10 years) and other conditions on exercise. The purchase price payable upon exercise of options may be paid in cash or by check, through a broker-assisted cashless exercise or other forms of consideration permitted by the Compensation Committee.</w:t>
      </w:r>
    </w:p>
    <w:p>
      <w:pPr>
        <w:spacing w:after="0" w:line="89" w:lineRule="exact"/>
        <w:rPr>
          <w:sz w:val="20"/>
          <w:szCs w:val="20"/>
          <w:color w:val="auto"/>
        </w:rPr>
      </w:pPr>
    </w:p>
    <w:p>
      <w:pPr>
        <w:ind w:left="1800" w:right="419" w:hanging="180"/>
        <w:spacing w:after="0" w:line="254"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 (“SARs”)</w:t>
      </w:r>
      <w:r>
        <w:rPr>
          <w:rFonts w:ascii="Times New Roman" w:cs="Times New Roman" w:eastAsia="Times New Roman" w:hAnsi="Times New Roman"/>
          <w:sz w:val="18"/>
          <w:szCs w:val="18"/>
          <w:color w:val="auto"/>
        </w:rPr>
        <w:t>. The Compensation Committee may grant SARs, either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in tandem with the number of shares underlying stock options granted under the 2024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10 years, and the term of a tandem SAR cannot exceed the term of the related stock option.</w:t>
      </w:r>
    </w:p>
    <w:p>
      <w:pPr>
        <w:spacing w:after="0" w:line="7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Awards, Restricted Stock and Restricted Stock Units</w:t>
      </w:r>
      <w:r>
        <w:rPr>
          <w:rFonts w:ascii="Times New Roman" w:cs="Times New Roman" w:eastAsia="Times New Roman" w:hAnsi="Times New Roman"/>
          <w:sz w:val="18"/>
          <w:szCs w:val="18"/>
          <w:color w:val="auto"/>
        </w:rPr>
        <w:t>. The Compensation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awards of stock, restricted stock, and restricted stock units, which represent the right to receive shares of our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Restricted stock units may be paid in stock or cash or a combination of stock and cash, as determined by the Compensation Committee.</w:t>
      </w:r>
    </w:p>
    <w:p>
      <w:pPr>
        <w:spacing w:after="0" w:line="74"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 Including Performance Share Units</w:t>
      </w:r>
      <w:r>
        <w:rPr>
          <w:rFonts w:ascii="Times New Roman" w:cs="Times New Roman" w:eastAsia="Times New Roman" w:hAnsi="Times New Roman"/>
          <w:sz w:val="18"/>
          <w:szCs w:val="18"/>
          <w:color w:val="auto"/>
        </w:rPr>
        <w:t>. The Compensation Committee may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including performance share units, which entitle participants to receive a payment from the Company, the amount of which is based on the attainment of performance goals established by the Compensation Committee over a specified award period of at least one year. Performance awards may be denominated in shares of common stock or in cash and may be paid in stock or cash or a combination of stock and cash, as determined by the Compensation Committee.</w:t>
      </w:r>
    </w:p>
    <w:p>
      <w:pPr>
        <w:spacing w:after="0" w:line="116" w:lineRule="exact"/>
        <w:rPr>
          <w:rFonts w:ascii="Times New Roman" w:cs="Times New Roman" w:eastAsia="Times New Roman" w:hAnsi="Times New Roman"/>
          <w:sz w:val="18"/>
          <w:szCs w:val="18"/>
          <w:color w:val="auto"/>
        </w:rPr>
      </w:pPr>
    </w:p>
    <w:p>
      <w:pPr>
        <w:ind w:left="1800" w:right="6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 applicable to performance awards may be based on the attainment of specified levels of one, or any combination, of selected performance criteria for the Company on a consolidated basis, and/or specified subsidiaries or business units, as reported or calculated by the Company, including, but not limited to, one or more performance goals based on (i) cash flow; (ii) earnings per share; (iii) earnings measures (including EBIT and EBITDA); (iv) total or relative stockholder return; (v) share price performance; (vi) revenue; and (vii) other metrics capable of measurement by the Compensation Committee.</w:t>
      </w:r>
    </w:p>
    <w:p>
      <w:pPr>
        <w:spacing w:after="0" w:line="121" w:lineRule="exact"/>
        <w:rPr>
          <w:sz w:val="20"/>
          <w:szCs w:val="20"/>
          <w:color w:val="auto"/>
        </w:rPr>
      </w:pPr>
    </w:p>
    <w:p>
      <w:pPr>
        <w:ind w:left="1800" w:right="539"/>
        <w:spacing w:after="0" w:line="255" w:lineRule="auto"/>
        <w:rPr>
          <w:sz w:val="20"/>
          <w:szCs w:val="20"/>
          <w:color w:val="auto"/>
        </w:rPr>
      </w:pPr>
      <w:r>
        <w:rPr>
          <w:rFonts w:ascii="Times New Roman" w:cs="Times New Roman" w:eastAsia="Times New Roman" w:hAnsi="Times New Roman"/>
          <w:sz w:val="18"/>
          <w:szCs w:val="18"/>
          <w:color w:val="auto"/>
        </w:rPr>
        <w:t>The Compensation Committee may determine at the time that the performance goals are established the extent to which the measurement of performance goals may exclude the impact of charges for restructuring, discontinued operations, extraordinary items, debt redemption or retirement, asset write downs, litigation or claim judgments or settlements, acquisitions or divestitures, foreign exchange gains and losses and other extraordinary, unusual or non-recurring items, and the cumulative effects of tax or accounting changes (each as defined by generally accepted accounting principles and as identified in the Company’s financial statements or other SEC filings).</w:t>
      </w:r>
    </w:p>
    <w:p>
      <w:pPr>
        <w:spacing w:after="0" w:line="79" w:lineRule="exact"/>
        <w:rPr>
          <w:sz w:val="20"/>
          <w:szCs w:val="20"/>
          <w:color w:val="auto"/>
        </w:rPr>
      </w:pPr>
    </w:p>
    <w:p>
      <w:pPr>
        <w:ind w:left="1800" w:right="599" w:hanging="180"/>
        <w:spacing w:after="0" w:line="267"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The Compensation Committee may also grant other types of equity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equity-based awards subject to the terms and conditions of the 2024 Plan and any other terms and conditions determined by the Compensation Committee.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 Repricing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Without stockholder approval, the Board and the Compensation Committee are not authorized to</w:t>
      </w:r>
    </w:p>
    <w:p>
      <w:pPr>
        <w:spacing w:after="0" w:line="27" w:lineRule="exact"/>
        <w:rPr>
          <w:sz w:val="20"/>
          <w:szCs w:val="20"/>
          <w:color w:val="auto"/>
        </w:rPr>
      </w:pPr>
    </w:p>
    <w:p>
      <w:pPr>
        <w:ind w:left="1260" w:right="639"/>
        <w:spacing w:after="0" w:line="250" w:lineRule="auto"/>
        <w:tabs>
          <w:tab w:leader="none" w:pos="14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the exercise or grant price of a stock option or SAR after it is granted, except in connection with certain adjustments to our corporate or capital structure permitted by the 2024 Plan, such as stock splits,</w:t>
      </w:r>
    </w:p>
    <w:p>
      <w:pPr>
        <w:ind w:left="1540" w:hanging="280"/>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that is treated as a repricing under generally accepted accounting principles or</w:t>
      </w:r>
    </w:p>
    <w:p>
      <w:pPr>
        <w:spacing w:after="0" w:line="9" w:lineRule="exact"/>
        <w:rPr>
          <w:rFonts w:ascii="Times New Roman" w:cs="Times New Roman" w:eastAsia="Times New Roman" w:hAnsi="Times New Roman"/>
          <w:sz w:val="18"/>
          <w:szCs w:val="18"/>
          <w:color w:val="auto"/>
        </w:rPr>
      </w:pPr>
    </w:p>
    <w:p>
      <w:pPr>
        <w:ind w:left="1260" w:right="499"/>
        <w:spacing w:after="0" w:line="253" w:lineRule="auto"/>
        <w:tabs>
          <w:tab w:leader="none" w:pos="1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 stock option or SAR at a time when its exercise or grant price exceeds the fair market value of the underlying stock, in exchange for cash, another stock option or SAR, restricted stock, RSUs or other equity award, unless the cancellation and exchange occur in connection with a change in capitalization or other similar change permitted under the 2024 Plan.</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grant of an award under the 2024 Plan may be contingent upon the participant executing the appropriate award agreement. The Company may retain the right in an award agreement to cause a forfeiture of the gain realized by a participant on account of actions taken by the participant in violation or breach of or in conflict with any employment agreement, non-competition agreement, any agreement prohibiting solicitation of employees or clients of the Company or any affiliate or any confidentiality obligation with respect to the Company or any affiliate, or otherwise in competition with the Company or any affiliate, to the extent specified in the award agreement applicable to the participant. Furthermore, the Company may annul an award if the participant is terminated for cause.</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All awards, amounts or benefits received or outstanding under the 2024 Plan will be subject to clawback, recoupment, rescission, payback, reduction or other similar action in accordance with the terms of any Company clawback or similar policy or any applicable law related to such actions, as may be in effect from time to time. A participant’s acceptance of an award under the 2024 Plan will be deemed to constitute the participant’s acknowledgement of and consent to the Company’s application, implementation and enforcement of any applicable Company clawback or similar policy that may apply to the participant, and the participant’s agreement that the Company may take such actions as may be necessary to effectuate any such policy or applicable law, without further consideration or action.</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Awards are not transferable other than by will or the laws of descent and distribution, except that in certain instances transfers may be made to or for the benefit of designated family members of the participant for no value.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(as​ defined in the 2024 Plan), outstanding awards under the 2024 Plan may be continued or may be assumed or substituted by the surviving or acquiring entity, in which case the holders of awards generally will be eligible to receive the consideration payable with respect to our outstanding shares in connection with the change in control (less any exercise or purchase price applicable to awards). Any award that is not assumed or continued by the acquiror in connection with the change in control nor exercised or settled as of the change in control will terminate and cease to be outstanding effective as of the time of the change in control.</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Additionally, the Compensation Committee may, without participant consent, determine that awards outstanding under the 2024 Plan immediately prior to the change in control will be canceled in exchange for a payment with respect to each vested share (and each unvested share, if so determined by the Compensation Committee) subject to the canceled award in (i) cash, (ii) our stock or stock of a corporation or other business entity that is a party to the change in control or (iii) other property that will be in an amount having a fair market value equal to the fair market value of the consideration to be paid per share of our common stock in the change in control, reduced by the exercise or purchase price per share, if any, under such award.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the 2024 Plan, “change in control” generally means:</w:t>
      </w:r>
    </w:p>
    <w:p>
      <w:pPr>
        <w:spacing w:after="0" w:line="117" w:lineRule="exact"/>
        <w:rPr>
          <w:sz w:val="20"/>
          <w:szCs w:val="20"/>
          <w:color w:val="auto"/>
        </w:rPr>
      </w:pPr>
    </w:p>
    <w:p>
      <w:pPr>
        <w:jc w:val="both"/>
        <w:ind w:left="1800" w:right="4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other than from the Company, by an individual, entity or group of more than 50% of the combined voting power of the then outstanding voting securities of the Company entitled to vote generally in the election of directors (“Voting Securities”);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consolidation of the Company, other than such a transaction in which more than 50% of the combined voting period of the outstanding voting securities of the surviving or resulting entity immediately following the transaction is held by persons who, immediately before the transaction, were the holders of the Voting Securities;</w:t>
      </w:r>
    </w:p>
    <w:p>
      <w:pPr>
        <w:spacing w:after="0" w:line="58"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a sale of all or substantially all of the assets of the Company; or</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the incumbent directors (as defined in the 2024 Plan) cease to constitute a majority of the Board.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Term, Termination and Amendment of the 2024 Plan</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Unless earlier terminated by the Board, the 2024 Plan will terminate, and no further awards may be granted thereunder, on the tenth anniversary of the date of Board adoption of the 2024 Plan, which adoption date was April 24, 2024. The Board may amend, suspend or terminate the 2024 Plan at any time, except that, if required by applicable law, regulation or stock exchange rule, stockholder approval will be required for any amendment. The amendment, suspension or termination of the 2024 Plan or the amendment of an outstanding award generally may not, without a participant’s consent, materially impair the participant’s rights under an outstanding award.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Future awards made under the 2024 Plan will be made at the Board’s or the Compensation Committee’s discretion. Therefore, the benefits and amounts that will be received or allocated under the 2024 Plan are not determinable at this time. Certain awards of RSUs have been granted that are contingent on stockholder approval of the 2024 Plan, which are described below.</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RSUs granted under the 2024 Plan since its initial approval by the stockholders on June 12, 2024 through March 31, 2026 to the individuals and groups described in the table. RSUs were the only equity award type granted in 2025. No stock options have been granted under the 2024 Plan since its initial inception.</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40" w:type="dxa"/>
            <w:vAlign w:val="bottom"/>
          </w:tcPr>
          <w:p>
            <w:pPr>
              <w:spacing w:after="0"/>
              <w:rPr>
                <w:sz w:val="14"/>
                <w:szCs w:val="14"/>
                <w:color w:val="auto"/>
              </w:rPr>
            </w:pPr>
          </w:p>
        </w:tc>
      </w:tr>
      <w:tr>
        <w:trPr>
          <w:trHeight w:val="162"/>
        </w:trPr>
        <w:tc>
          <w:tcPr>
            <w:tcW w:w="6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 RSUs</w:t>
            </w:r>
          </w:p>
        </w:tc>
        <w:tc>
          <w:tcPr>
            <w:tcW w:w="40" w:type="dxa"/>
            <w:vAlign w:val="bottom"/>
          </w:tcPr>
          <w:p>
            <w:pPr>
              <w:spacing w:after="0"/>
              <w:rPr>
                <w:sz w:val="14"/>
                <w:szCs w:val="14"/>
                <w:color w:val="auto"/>
              </w:rPr>
            </w:pP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Position/Group</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21,833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non-employee directors as a group</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7,698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1"/>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88,298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-942340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Of the foregoing amounts, the following RSU awards granted in January 2026 are subject to stockholder approval of the 2024 Plan: (i) Mallorie Burak, 12,500 RSUs; (ii) Peter Weinberg, General Counsel, 1,500 RSUs; (iii) non-executive officer employees, 9,500 RSUs; and (iv) non-employee director David Roberson, 250 RSUs The foregoing grants are subject to stockholder approval since, in combination with any other RSU grants granted to the individual in 2026, they exceeded the 2,500 share per person limit on the size of equity awards that can be granted to individuals in a single calendar under the current 2024 Plan (which limit no longer applies under the 2024 Plan, subject to stockholder approval of the 2024 Plan). If the 2024 Plan is not approved by the stockholders, the RSU grants subject to stockholder approval of the 2024 Plan will be automatically cancelled. All of the foregoing RSUs granted to employees vest in four equal annual installments, with the first installment vesting on January 12, 2027, and the grant to the non-employee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vests in a single installment on January 12, 2027, with vesting subject to the holder’s continued employment or service until the applicable vesting date.</w:t>
      </w:r>
    </w:p>
    <w:p>
      <w:pPr>
        <w:spacing w:after="0" w:line="94"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Please also refer to the “Outstanding Equity Awards at 2025 Fiscal Year-End” and “Director Compensation” for information about the equity awards granted, respectively, to our named executive officers and our non-employee directors in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2024 Plan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U.S. federal income tax consequences of the 2024 Plan generally applicable to the Company and to participants in the 2024 Plan who are subject to U.S. federal taxes and who receive awards under the 2024 Plan.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w:t>
      </w:r>
    </w:p>
    <w:p>
      <w:pPr>
        <w:spacing w:after="0" w:line="32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A participant generally will not recognize taxable income upon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vesting of a nonqualified stock option with an exercise price at least equal to the fair market value of our common stock on the date of grant and no additional deferral feature. Upon the exercise of a nonqualified stock option, a participant generally will recognize compensation taxable as ordinary income in an amount equal to the excess of the fair market value of the shares underlying the stock option on the date of exercise over the exercise price of the stock option. When a participant sells the shares, the participant generally will recognize capital gain or loss, as the case may be, equal to the difference between the amount realized from the sale and the tax basis of the shares sold. Such capital gain or loss will be long-term capital gain or loss if the participant’s holding period in the shares was more than one year. The participant’s tax basis in the shares generally will be equal to the greater of the fair market value of the shares on the exercise date or the exercise price of the nonqualified stock option. Long-term capital gains of non-corporate taxpayers are generally taxed at preferred tax rates. The deductibility of capital losses is subject to limitations.</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generally will not recognize taxable income upon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or the vesting of an incentive stock option. If a participant exercises an incentive stock option during employment or within three months after employment ends (12 months in the case of permanent and total disability), the participant will not recognize taxable income at the time of exercise for regular U.S. federal income tax purposes (although the participant generally will have taxable income for U.S. alternative minimum tax purposes at that time as if the stock option were a nonqualified stock option). If a participant sells or otherwise disposes of the shares acquired upon exercise of an incentive stock option after the later of one year from the date the participant exercised the option under the 2024 Plan and</w:t>
      </w:r>
    </w:p>
    <w:p>
      <w:pPr>
        <w:spacing w:after="0" w:line="3"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two years from the grant date of the incentive stock option, the participant generally will recognize long-term gain or loss equal to the difference between the amount realized in the disposition and the exercise price of the incentive stock option. If a participant sells or otherwise disposes of shares acquired upon exercise of an incentive stock option before the holding period requirements described above are satisfied, the disposition will constitute a “disqualifying disposition,” and the participant generally will recognize compensation taxable as ordinary income in the year of disposition equal to the excess of the fair market value of the shares on the date of exercise over the exercise price of the incentive stock option (or, if less, the excess of the amount realized on the disposition of the shares over the exercise price of the incentive stock option). The balance of the participant’s gain on a disqualifying disposition, if any, generally will be taxed as capital gain, and such capital gain will be long-term capital gain if the participant’s holding period in the shares was more than one year. Long-term capital gains of non-corporate taxpayers are generally taxed at preferred rates. The deductibility of capital losses is subject to limitations.</w:t>
      </w:r>
    </w:p>
    <w:p>
      <w:pPr>
        <w:spacing w:after="0" w:line="125"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Stock Appreciation Rights (“SARs”)</w:t>
      </w:r>
      <w:r>
        <w:rPr>
          <w:rFonts w:ascii="Times New Roman" w:cs="Times New Roman" w:eastAsia="Times New Roman" w:hAnsi="Times New Roman"/>
          <w:sz w:val="18"/>
          <w:szCs w:val="18"/>
          <w:color w:val="auto"/>
        </w:rPr>
        <w:t>. A participant generally will not recognize taxable income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or vesting of a SAR with a grant price at least equal to the fair market value of our common stock on the date of grant and no additional deferral feature. Upon the exercise of a SAR, a participant generally will recognize compensation taxable as ordinary income in an amount equal to the difference between the fair market value of the shares underlying the SAR, or the amount of cash received, on the date of exercise and the grant price of the SAR. With respect to any shares received, upon a sale of shares, a participant generally will recognize short-term or long-term capital gain or loss, as the case may be, equal to the difference between the amount realized on the sale of the shares and the tax basis of the shares. The tax basis of the shares generally will be equal to the value of the shares on the date received. Such capital gain or loss will be long-term capital gain or loss if the participant’s holding period in the shares was more than one year. Long-term capital gains of non-corporate taxpayers are generally taxed at preferred tax rates. The deductibility of capital losses is subject to limitations.</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participant generally will not recognize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restricted stock, unless the participant makes a valid election under Code Section 83(b) to be taxed at the time of the grant (a “Section 83(b) Election”). If a participant does not make a Section 83(b) Election with respect to restricted stock, when restrictions on shares of restricted stock lapse, such that the shares are vested and no longer subject to a substantial risk of forfeiture, a participant generally will recognize ordinary income in an amount equal to the difference between the fair market value of the shares on the date such restrictions lapse over the purchase price for the restricted stock. If a participant makes a Section 83(b) Election with respect to restricted stock, the participant will recognize ordinary income at the time of grant equal to the difference between the fair market value of the shares on that date and any amount paid by the participant for the shares. If the Section 83(b) Election is made, the participant will not be allowed a deduction for any income recognized with respect to shares that are subsequently required to be forfeited to the Company. When a participant sells the shares received, the participant generally will recognize capital gain or loss, as the case may be, equal to the difference between the amount realized from the sale and the tax basis of the shares sold, which generally will be equal to the amount paid for the shares, plus any ordinary income recognized by the participant. Such capital gain or loss will be long-term capital gain or loss if the participant’s holding period in the shares was more than one year. A participant’s holding period for the shares generally begins at the time the participant recognizes income with respect thereto. Long-term capital gains of non-corporate taxpayers are generally taxed at preferred tax rates. The deductibility of capital losses is subject to limitations.</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Units (“RSUs”) and Performance Awards</w:t>
      </w:r>
      <w:r>
        <w:rPr>
          <w:rFonts w:ascii="Times New Roman" w:cs="Times New Roman" w:eastAsia="Times New Roman" w:hAnsi="Times New Roman"/>
          <w:sz w:val="18"/>
          <w:szCs w:val="18"/>
          <w:color w:val="auto"/>
        </w:rPr>
        <w:t>. A participant generally will not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upon the grant of RSUs or performance awards. Instead, the participant will recognize ordinary income at the time of vesting or payment in an amount equal to the fair market value (on the vesting or payment date) of the shares or cash received. When a participant sells the shares received in respect of an RSU or Performance Award, the participant generally will recognize capital gain or loss, as the case may be, equal to difference between the amount realized on the sale of shares and the participant’s tax basis in the shares, which generally is equal to the value of the shares on the date of transfer to the participant. Long-term capital gains of non-corporate taxpayers are generally taxed at preferred tax rates. The deductibility of capital losses is subject to limitations.</w:t>
      </w:r>
    </w:p>
    <w:p>
      <w:pPr>
        <w:spacing w:after="0" w:line="107"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Other Stock or Cash-Based Awards</w:t>
      </w:r>
      <w:r>
        <w:rPr>
          <w:rFonts w:ascii="Times New Roman" w:cs="Times New Roman" w:eastAsia="Times New Roman" w:hAnsi="Times New Roman"/>
          <w:sz w:val="18"/>
          <w:szCs w:val="18"/>
          <w:color w:val="auto"/>
        </w:rPr>
        <w:t>. The U.S. federal income tax consequences of other stock or cash-based awards will depend upon the specific terms and conditions of each award.</w:t>
      </w:r>
    </w:p>
    <w:p>
      <w:pPr>
        <w:spacing w:after="0" w:line="91" w:lineRule="exact"/>
        <w:rPr>
          <w:sz w:val="20"/>
          <w:szCs w:val="20"/>
          <w:color w:val="auto"/>
        </w:rPr>
      </w:pPr>
    </w:p>
    <w:p>
      <w:pPr>
        <w:ind w:left="126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Tax Consequences to the Company</w:t>
      </w:r>
      <w:r>
        <w:rPr>
          <w:rFonts w:ascii="Times New Roman" w:cs="Times New Roman" w:eastAsia="Times New Roman" w:hAnsi="Times New Roman"/>
          <w:sz w:val="18"/>
          <w:szCs w:val="18"/>
          <w:color w:val="auto"/>
        </w:rPr>
        <w:t>. In the foregoing cases, we generally will be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at the same time, and in the same amount, as a participant recognizes ordinary income, subject to certain limitations imposed under the Code.</w:t>
      </w:r>
    </w:p>
    <w:p>
      <w:pPr>
        <w:spacing w:after="0" w:line="10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Code Section 409A</w:t>
      </w:r>
      <w:r>
        <w:rPr>
          <w:rFonts w:ascii="Times New Roman" w:cs="Times New Roman" w:eastAsia="Times New Roman" w:hAnsi="Times New Roman"/>
          <w:sz w:val="18"/>
          <w:szCs w:val="18"/>
          <w:color w:val="auto"/>
        </w:rPr>
        <w:t>. We intend that awards granted under the 2024 Plan will comply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exempt from, Code Section 409A. However, we make no representation or warranty to that effect and will have no liability to any person if any provisions of or payments, compensation or other benefits under the 2024 Plan are determined to constitute nonqualified deferred compensation subject to Code Section 409A but do not satisfy the conditions of that section.</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We are authorized to deduct or withhold from any award granted or payment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2024 Plan, or require a participant to remit 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2024 Plan until all tax withholding obligations are satisfied.</w:t>
      </w:r>
    </w:p>
    <w:p>
      <w:pPr>
        <w:spacing w:after="0" w:line="83" w:lineRule="exact"/>
        <w:rPr>
          <w:sz w:val="20"/>
          <w:szCs w:val="20"/>
          <w:color w:val="auto"/>
        </w:rPr>
      </w:pPr>
    </w:p>
    <w:p>
      <w:pPr>
        <w:ind w:left="1480" w:hanging="159"/>
        <w:spacing w:after="0"/>
        <w:tabs>
          <w:tab w:leader="none" w:pos="1480" w:val="left"/>
        </w:tabs>
        <w:numPr>
          <w:ilvl w:val="0"/>
          <w:numId w:val="29"/>
        </w:numPr>
        <w:rPr>
          <w:rFonts w:ascii="Times New Roman" w:cs="Times New Roman" w:eastAsia="Times New Roman" w:hAnsi="Times New Roman"/>
          <w:sz w:val="34"/>
          <w:szCs w:val="34"/>
          <w:b w:val="1"/>
          <w:bCs w:val="1"/>
          <w:color w:val="auto"/>
          <w:vertAlign w:val="superscript"/>
        </w:rPr>
      </w:pPr>
      <w:r>
        <w:rPr>
          <w:rFonts w:ascii="Times New Roman" w:cs="Times New Roman" w:eastAsia="Times New Roman" w:hAnsi="Times New Roman"/>
          <w:sz w:val="17"/>
          <w:szCs w:val="17"/>
          <w:b w:val="1"/>
          <w:bCs w:val="1"/>
          <w:color w:val="auto"/>
        </w:rPr>
        <w:t>OUR BOARD RECOMMENDS A VOTE “FOR” APPROVAL OF THE ENERGOUS CORPORATION</w:t>
      </w:r>
    </w:p>
    <w:p>
      <w:pPr>
        <w:spacing w:after="0" w:line="1" w:lineRule="exact"/>
        <w:rPr>
          <w:rFonts w:ascii="Times New Roman" w:cs="Times New Roman" w:eastAsia="Times New Roman" w:hAnsi="Times New Roman"/>
          <w:sz w:val="34"/>
          <w:szCs w:val="34"/>
          <w:b w:val="1"/>
          <w:bCs w:val="1"/>
          <w:color w:val="auto"/>
          <w:vertAlign w:val="superscript"/>
        </w:rPr>
      </w:pPr>
    </w:p>
    <w:p>
      <w:pPr>
        <w:ind w:left="2880"/>
        <w:spacing w:after="0"/>
        <w:rPr>
          <w:rFonts w:ascii="Times New Roman" w:cs="Times New Roman" w:eastAsia="Times New Roman" w:hAnsi="Times New Roman"/>
          <w:sz w:val="34"/>
          <w:szCs w:val="34"/>
          <w:b w:val="1"/>
          <w:bCs w:val="1"/>
          <w:color w:val="auto"/>
          <w:vertAlign w:val="superscript"/>
        </w:rPr>
      </w:pPr>
      <w:r>
        <w:rPr>
          <w:rFonts w:ascii="Times New Roman" w:cs="Times New Roman" w:eastAsia="Times New Roman" w:hAnsi="Times New Roman"/>
          <w:sz w:val="18"/>
          <w:szCs w:val="18"/>
          <w:b w:val="1"/>
          <w:bCs w:val="1"/>
          <w:color w:val="auto"/>
        </w:rPr>
        <w:t>AMENDED AND RESTATED 2024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-320675</wp:posOffset>
            </wp:positionV>
            <wp:extent cx="5212080"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information about our equity plans as of December 31, 2025.</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 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 plan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20" w:type="dxa"/>
            <w:vAlign w:val="bottom"/>
          </w:tcPr>
          <w:p>
            <w:pPr>
              <w:spacing w:after="0"/>
              <w:rPr>
                <w:sz w:val="18"/>
                <w:szCs w:val="18"/>
                <w:color w:val="auto"/>
              </w:rPr>
            </w:pPr>
          </w:p>
        </w:tc>
        <w:tc>
          <w:tcPr>
            <w:tcW w:w="1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and rights</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80" w:type="dxa"/>
            <w:vAlign w:val="bottom"/>
          </w:tcPr>
          <w:p>
            <w:pPr>
              <w:spacing w:after="0"/>
              <w:rPr>
                <w:sz w:val="18"/>
                <w:szCs w:val="18"/>
                <w:color w:val="auto"/>
              </w:rPr>
            </w:pPr>
          </w:p>
        </w:tc>
        <w:tc>
          <w:tcPr>
            <w:tcW w:w="1560" w:type="dxa"/>
            <w:vAlign w:val="bottom"/>
            <w:tcBorders>
              <w:top w:val="single" w:sz="8" w:color="auto"/>
            </w:tcBorders>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 9,726</w:t>
            </w:r>
            <w:r>
              <w:rPr>
                <w:rFonts w:ascii="Times New Roman" w:cs="Times New Roman" w:eastAsia="Times New Roman" w:hAnsi="Times New Roman"/>
                <w:sz w:val="23"/>
                <w:szCs w:val="23"/>
                <w:color w:val="auto"/>
                <w:vertAlign w:val="superscript"/>
              </w:rPr>
              <w:t>(1)</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top w:val="single" w:sz="8" w:color="auto"/>
            </w:tcBorders>
            <w:gridSpan w:val="4"/>
            <w:vMerge w:val="restart"/>
          </w:tcPr>
          <w:p>
            <w:pPr>
              <w:ind w:left="580"/>
              <w:spacing w:after="0"/>
              <w:rPr>
                <w:sz w:val="20"/>
                <w:szCs w:val="20"/>
                <w:color w:val="auto"/>
              </w:rPr>
            </w:pPr>
            <w:r>
              <w:rPr>
                <w:rFonts w:ascii="Times New Roman" w:cs="Times New Roman" w:eastAsia="Times New Roman" w:hAnsi="Times New Roman"/>
                <w:sz w:val="18"/>
                <w:szCs w:val="18"/>
                <w:color w:val="auto"/>
              </w:rPr>
              <w:t>​78,176</w:t>
            </w:r>
            <w:r>
              <w:rPr>
                <w:rFonts w:ascii="Times New Roman" w:cs="Times New Roman" w:eastAsia="Times New Roman" w:hAnsi="Times New Roman"/>
                <w:sz w:val="23"/>
                <w:szCs w:val="23"/>
                <w:color w:val="auto"/>
                <w:vertAlign w:val="superscript"/>
              </w:rPr>
              <w:t>(2)</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4"/>
            <w:vMerge w:val="continue"/>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4"/>
            <w:vMerge w:val="continue"/>
          </w:tcPr>
          <w:p>
            <w:pPr>
              <w:spacing w:after="0"/>
              <w:rPr>
                <w:sz w:val="21"/>
                <w:szCs w:val="21"/>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w w:val="92"/>
              </w:rPr>
              <w:t>1,265</w:t>
            </w:r>
            <w:r>
              <w:rPr>
                <w:rFonts w:ascii="Times New Roman" w:cs="Times New Roman" w:eastAsia="Times New Roman" w:hAnsi="Times New Roman"/>
                <w:sz w:val="23"/>
                <w:szCs w:val="23"/>
                <w:color w:val="auto"/>
                <w:w w:val="92"/>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security holders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vMerge w:val="restart"/>
          </w:tcPr>
          <w:p>
            <w:pPr>
              <w:spacing w:after="0"/>
              <w:rPr>
                <w:sz w:val="15"/>
                <w:szCs w:val="15"/>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continue"/>
          </w:tcPr>
          <w:p>
            <w:pPr>
              <w:spacing w:after="0"/>
              <w:rPr>
                <w:sz w:val="15"/>
                <w:szCs w:val="15"/>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60" w:type="dxa"/>
            <w:vAlign w:val="bottom"/>
            <w:gridSpan w:val="2"/>
          </w:tcPr>
          <w:p>
            <w:pPr>
              <w:jc w:val="right"/>
              <w:ind w:right="140"/>
              <w:spacing w:after="0" w:line="81" w:lineRule="exact"/>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1020" w:type="dxa"/>
            <w:vAlign w:val="bottom"/>
            <w:gridSpan w:val="3"/>
          </w:tcPr>
          <w:p>
            <w:pPr>
              <w:jc w:val="right"/>
              <w:ind w:right="5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10,991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4"/>
          </w:tcPr>
          <w:p>
            <w:pPr>
              <w:ind w:left="5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78,176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-908050</wp:posOffset>
            </wp:positionV>
            <wp:extent cx="521208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110" w:lineRule="exact"/>
        <w:rPr>
          <w:sz w:val="20"/>
          <w:szCs w:val="20"/>
          <w:color w:val="auto"/>
        </w:rPr>
      </w:pPr>
    </w:p>
    <w:p>
      <w:pPr>
        <w:ind w:left="1620" w:right="699"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9,726 outstanding shares as of December 31, 2025 are RSUs under the 2024 Plan that have been granted and not vested as of December 31, 2025.</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78,176 shares available for issuance under our 2024 Plan.</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RSUs awarded under the 2017 Plan that have not yet vested as of December 31,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Features of the 2017 Equity Inducement Plan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2017 Plan was established by the Board in December 2017 with the purpose of attracting, retaining and motivating employees whose potential contributions are important to our success. In accordance with Nasdaq rules, this plan was used to offer equity awards as material inducements for new employees to join the Company and provide an opportunity for them to participate in the Company’s future performance.</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equity grants awarded under the 2017 Plan were typically in the form of RSUs, but could also consist of stock options, with exercise prices equal to the fair market value of our common stock on the date of grant. As of December 31, 2025, the 2017 Plan is terminated and no shares of common stock remain available to be issued as new awards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SECURITIES OWNERSHIP OF CERTAIN BENEFICIAL OWNERS AND MANAGEMENT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16, 2026 by:</w:t>
      </w:r>
    </w:p>
    <w:p>
      <w:pPr>
        <w:spacing w:after="0" w:line="99" w:lineRule="exact"/>
        <w:rPr>
          <w:sz w:val="20"/>
          <w:szCs w:val="20"/>
          <w:color w:val="auto"/>
        </w:rPr>
      </w:pPr>
    </w:p>
    <w:p>
      <w:pPr>
        <w:ind w:left="1800" w:right="6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 and each nominee for election to our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identified in the Summary Compensation Table below;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noted, the address of each person listed on the table is c/o Energous Corporation at 3590 North First Street, Suite 330, San Jose, California 95134. To our knowledge, each person listed below has sole voting and investment power over the shares shown as beneficially owned by them, except to the extent jointly owned with spouses or otherwise noted below.</w:t>
      </w:r>
    </w:p>
    <w:p>
      <w:pPr>
        <w:spacing w:after="0" w:line="9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 information does not necessarily indicate ownership for any other purpose. Under these rules, shares issuable pursuant to stock options that may be exercised, and RSUs that may vest, within 60 days after April 16, 2026 are deemed to be beneficially owned and outstanding for purposes of calculating the number of shares and the percentage of shares beneficially owned by that person. However, these shares are not deemed to be beneficially owned and outstanding for purposes of computing the percentage beneficially owned by any other person.</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40" w:type="dxa"/>
            <w:vAlign w:val="bottom"/>
          </w:tcPr>
          <w:p>
            <w:pPr>
              <w:spacing w:after="0"/>
              <w:rPr>
                <w:sz w:val="13"/>
                <w:szCs w:val="13"/>
                <w:color w:val="auto"/>
              </w:rPr>
            </w:pPr>
          </w:p>
        </w:tc>
      </w:tr>
      <w:tr>
        <w:trPr>
          <w:trHeight w:val="227"/>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19"/>
                <w:szCs w:val="19"/>
                <w:color w:val="auto"/>
              </w:rPr>
            </w:pPr>
          </w:p>
        </w:tc>
      </w:tr>
      <w:tr>
        <w:trPr>
          <w:trHeight w:val="25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 and Executive Officers</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5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Patel</w:t>
            </w:r>
          </w:p>
        </w:tc>
        <w:tc>
          <w:tcPr>
            <w:tcW w:w="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​7,767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Weinberg</w:t>
            </w:r>
          </w:p>
        </w:tc>
        <w:tc>
          <w:tcPr>
            <w:tcW w:w="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(five (5) persons)</w:t>
            </w: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​8,537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Stockholders</w:t>
            </w:r>
          </w:p>
        </w:tc>
        <w:tc>
          <w:tcPr>
            <w:tcW w:w="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0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-1517015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-1517015</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our outstanding shares of common stock.</w:t>
      </w:r>
    </w:p>
    <w:p>
      <w:pPr>
        <w:spacing w:after="0" w:line="90" w:lineRule="exact"/>
        <w:rPr>
          <w:sz w:val="20"/>
          <w:szCs w:val="20"/>
          <w:color w:val="auto"/>
        </w:rPr>
      </w:pPr>
    </w:p>
    <w:p>
      <w:pPr>
        <w:ind w:left="1620" w:right="63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calculated based upon 5,501,099 shares of common stock outstanding as of April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background information relating to our current executive officer as of April 28, 2026:</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9"/>
                <w:szCs w:val="19"/>
                <w:color w:val="auto"/>
              </w:rPr>
            </w:pPr>
          </w:p>
        </w:tc>
        <w:tc>
          <w:tcPr>
            <w:tcW w:w="46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Chief Financial Officer and Director</w:t>
            </w:r>
          </w:p>
        </w:tc>
        <w:tc>
          <w:tcPr>
            <w:tcW w:w="40" w:type="dxa"/>
            <w:vAlign w:val="bottom"/>
          </w:tcPr>
          <w:p>
            <w:pPr>
              <w:spacing w:after="0"/>
              <w:rPr>
                <w:sz w:val="21"/>
                <w:szCs w:val="21"/>
                <w:color w:val="auto"/>
              </w:rPr>
            </w:pPr>
          </w:p>
        </w:tc>
      </w:tr>
      <w:tr>
        <w:trPr>
          <w:trHeight w:val="25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Weinberg</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2"/>
                <w:szCs w:val="22"/>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of Staff and General Counsel</w:t>
            </w:r>
          </w:p>
        </w:tc>
        <w:tc>
          <w:tcPr>
            <w:tcW w:w="40" w:type="dxa"/>
            <w:vAlign w:val="bottom"/>
          </w:tcPr>
          <w:p>
            <w:pPr>
              <w:spacing w:after="0"/>
              <w:rPr>
                <w:sz w:val="22"/>
                <w:szCs w:val="22"/>
                <w:color w:val="auto"/>
              </w:rPr>
            </w:pPr>
          </w:p>
        </w:tc>
      </w:tr>
    </w:tbl>
    <w:p>
      <w:pPr>
        <w:spacing w:after="0" w:line="126" w:lineRule="exact"/>
        <w:rPr>
          <w:sz w:val="20"/>
          <w:szCs w:val="20"/>
          <w:color w:val="auto"/>
        </w:rPr>
      </w:pPr>
    </w:p>
    <w:p>
      <w:pPr>
        <w:ind w:left="1260" w:right="7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Mallorie Burak</w:t>
      </w:r>
      <w:r>
        <w:rPr>
          <w:rFonts w:ascii="Times New Roman" w:cs="Times New Roman" w:eastAsia="Times New Roman" w:hAnsi="Times New Roman"/>
          <w:sz w:val="18"/>
          <w:szCs w:val="18"/>
          <w:color w:val="auto"/>
        </w:rPr>
        <w:t>. Biographical information for Ms. Burak is provided above under the “Proposal 1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of Directors.”</w:t>
      </w:r>
    </w:p>
    <w:p>
      <w:pPr>
        <w:spacing w:after="0" w:line="87"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 Weinberg </w:t>
      </w:r>
      <w:r>
        <w:rPr>
          <w:rFonts w:ascii="Times New Roman" w:cs="Times New Roman" w:eastAsia="Times New Roman" w:hAnsi="Times New Roman"/>
          <w:sz w:val="18"/>
          <w:szCs w:val="18"/>
          <w:color w:val="auto"/>
        </w:rPr>
        <w:t>has served as our General Counsel since January 2026. Mr. Weinberg has also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Chief of Staff since December 2025. He originally joined the Company in November 2024 as Legal Counsel. Mr. Weinberg’s career spans over three decades and various sectors including design/build construction, IT and communication technologies, semiconductor manufacturing, marketing, renewable energy, and security robotics. Prior to joining the Company, Mr. Weinberg served as General Counsel to various companies including Knightscope Inc. from 2021 to 2024, Alta Devices from 2015 to 2019, NEC Electronics America from 2005 to 2010, and Takenaka USA Corp. from 1994 to 1999.</w:t>
      </w:r>
    </w:p>
    <w:p>
      <w:pPr>
        <w:spacing w:after="0" w:line="1"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Mr. Weinberg earned his JD at Fordham University Law School and holds an M.A. and B.A. from New York University and Stony Brook University, respectively.</w:t>
      </w:r>
    </w:p>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our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compensation philosophy is to offer our executive officers compensation and benefits that are competitive and meet our goals of attracting, retaining and motivating highly skilled management, which is necessary to achieve our financial and strategic objectives and create long -term value for our stockholders. We believe the levels of compensation we provide should be competitive, reasonable and appropriate for our business needs and circumstances. The principal elements of our executive compensation program have to date included base salary, incentive performance bonuses and long-term equity compensation in the form of stock options and restricted stock units, including performance -based restricted stock units. We believe successful long-term Company performance is more critical to enhancing stockholder value than short-term results. For this reason and to conserve cash and better align the interests of management and our stockholders, we generally emphasize long-term performance-based equity compensation over base annual salaries.</w:t>
      </w:r>
    </w:p>
    <w:p>
      <w:pPr>
        <w:spacing w:after="0" w:line="32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named executive officer for the fiscal year ended December 31,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 for 2025</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8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Bonus</w:t>
            </w:r>
          </w:p>
        </w:tc>
        <w:tc>
          <w:tcPr>
            <w:tcW w:w="11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Stock Awards</w:t>
            </w:r>
            <w:r>
              <w:rPr>
                <w:rFonts w:ascii="Times New Roman" w:cs="Times New Roman" w:eastAsia="Times New Roman" w:hAnsi="Times New Roman"/>
                <w:sz w:val="15"/>
                <w:szCs w:val="15"/>
                <w:b w:val="1"/>
                <w:bCs w:val="1"/>
                <w:color w:val="auto"/>
                <w:vertAlign w:val="superscript"/>
              </w:rPr>
              <w:t>(1)</w:t>
            </w:r>
          </w:p>
        </w:tc>
        <w:tc>
          <w:tcPr>
            <w:tcW w:w="194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Compensation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Mallorie Burak</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160" w:type="dxa"/>
            <w:vAlign w:val="bottom"/>
            <w:vMerge w:val="continue"/>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$395,000</w:t>
            </w:r>
          </w:p>
        </w:tc>
        <w:tc>
          <w:tcPr>
            <w:tcW w:w="820" w:type="dxa"/>
            <w:vAlign w:val="bottom"/>
            <w:gridSpan w:val="2"/>
            <w:shd w:val="clear" w:color="auto" w:fill="CCEEFF"/>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$395,000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17"/>
                <w:szCs w:val="17"/>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bscript"/>
              </w:rPr>
              <w:t>—</w:t>
            </w:r>
          </w:p>
        </w:tc>
        <w:tc>
          <w:tcPr>
            <w:tcW w:w="980" w:type="dxa"/>
            <w:vAlign w:val="bottom"/>
            <w:gridSpan w:val="3"/>
            <w:shd w:val="clear" w:color="auto" w:fill="CCEEFF"/>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$790,000</w:t>
            </w:r>
          </w:p>
        </w:tc>
        <w:tc>
          <w:tcPr>
            <w:tcW w:w="0" w:type="dxa"/>
            <w:vAlign w:val="bottom"/>
          </w:tcPr>
          <w:p>
            <w:pPr>
              <w:spacing w:after="0"/>
              <w:rPr>
                <w:sz w:val="1"/>
                <w:szCs w:val="1"/>
                <w:color w:val="auto"/>
              </w:rPr>
            </w:pPr>
          </w:p>
        </w:tc>
      </w:tr>
      <w:tr>
        <w:trPr>
          <w:trHeight w:val="223"/>
        </w:trPr>
        <w:tc>
          <w:tcPr>
            <w:tcW w:w="2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Chief</w:t>
            </w: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​$379,849</w:t>
            </w:r>
          </w:p>
        </w:tc>
        <w:tc>
          <w:tcPr>
            <w:tcW w:w="8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​​$334,250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​$135,452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​​$849,551</w:t>
            </w:r>
          </w:p>
        </w:tc>
        <w:tc>
          <w:tcPr>
            <w:tcW w:w="0" w:type="dxa"/>
            <w:vAlign w:val="bottom"/>
          </w:tcPr>
          <w:p>
            <w:pPr>
              <w:spacing w:after="0"/>
              <w:rPr>
                <w:sz w:val="1"/>
                <w:szCs w:val="1"/>
                <w:color w:val="auto"/>
              </w:rPr>
            </w:pPr>
          </w:p>
        </w:tc>
      </w:tr>
      <w:tr>
        <w:trPr>
          <w:trHeight w:val="236"/>
        </w:trPr>
        <w:tc>
          <w:tcPr>
            <w:tcW w:w="2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9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-676910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-676910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-676910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-676910</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-676910</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-676910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jc w:val="both"/>
        <w:ind w:left="1620" w:right="47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indicate the grant date fair value of RSUs computed in accordance with FASB ASC Topic 718. For additional information regarding the assumptions made in calculating these amounts, see the notes to our audited financial statements included in our 2025 Annual Report.</w:t>
      </w:r>
    </w:p>
    <w:p>
      <w:pPr>
        <w:spacing w:after="0" w:line="27"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Burak was appointed as Chief Financial Officer in January 2024, and as interim principal executive officer effective March 24, 2024. In October 2024, Ms. Burak was appointed permanent Chief Executive Officer of the Company, in addition to serving in her role as Chief Financial Officer.</w:t>
      </w:r>
    </w:p>
    <w:p>
      <w:pPr>
        <w:spacing w:after="0" w:line="27"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discretionary bonus under the Company’s 2025 Corporate Bonus Plan (the “2025 Bonus Plan”), whereby employees’ bonuses will be based upon achievement of performance objectives set by the Compensation Committee, subject to the discretion of the Company.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6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The compensation of the Company’s named executive officer is comprised of the following major elements: (a) base salary, (b) bonuses, and (c) long-term equity incentives, consisting of RSUs granted under the Company’s 2024 Equity Incentive Plan. These principal elements of compensation are described below.</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Base salary is provided as a fixed source of compensation for our named executive officer. Adjustments to base salaries are reviewed annually by the Compensation Committee and may be adjusted from time to time to reflect promotions or other changes in the scope of breadth of the named executive officer’s role or responsibilities, as well as to maintain market competitiveness. For 2025, the base salary of Ms. Burak was set pursuant to her employment agreement with the Company.</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Cash Bonuses</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Annual cash bonuses may be awarded based on qualitative and quantitative performance standards to reward performance of our named executive officer.</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For 2025, Ms. Burak earned a discretionary bonus of $395,000 under the 2025 Corporate Bonus Plan. Under the approved terms of the 2025 Bonus Plan, Ms. Burak’s bonus target was set at 100% of her base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salary, which amount was allocated based upon achievement of defined performance metrics. 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in each case, subject to the discretion of the Company.</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Long-Term Equity Incentives</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Grants made under our 2024 Plan provide continual motivation for our officers, employees, consultants and directors to achieve our business and financial objectives, align their interests with the long-term interests of our stockholders, and provide a long-term retention incentive.</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Ms. Burak did not receive an equity award during 2025 but did receive an RSU award for 15,000 shares in January 2026 (a portion of which is subject to approval of the 2024 Plan at the Annual meeting) that vests annually over four years from the grant date, subject to continuous service with the Company through each applicable vesting date.</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Executive Employment Agreement with Mallorie Burak</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Ms. Burak’s appointment as Chief Financial Officer, the Company provided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Burak with an offer letter (the “Burak Offer Letter”), dated November 29, 2023, pursuant to which</w:t>
      </w:r>
    </w:p>
    <w:p>
      <w:pPr>
        <w:ind w:left="1260"/>
        <w:spacing w:after="0"/>
        <w:rPr>
          <w:sz w:val="20"/>
          <w:szCs w:val="20"/>
          <w:color w:val="auto"/>
        </w:rPr>
      </w:pPr>
      <w:r>
        <w:rPr>
          <w:rFonts w:ascii="Times New Roman" w:cs="Times New Roman" w:eastAsia="Times New Roman" w:hAnsi="Times New Roman"/>
          <w:sz w:val="18"/>
          <w:szCs w:val="18"/>
          <w:color w:val="auto"/>
        </w:rPr>
        <w:t>Ms. Burak receives an annual base salary of $395,000, subject to further adjustments by the Company.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Burak Offer Letter, Ms. Burak was also entitled to receive (i) a guaranteed annual bonus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$150,000 for 2024, subject to her continued employment with the Company through December 31, 2024,</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(ii) a one-time sign-on bonus in connection with her commencement of service with the Company.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Beginning in 2025, Ms. Burak became eligible to receive a discretionary annual bonus starting at up to</w:t>
      </w: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$200,000, based on Company and individual performance objectives to be determined by the Compensation Committee.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our named executive officer as of December 31, 2025.</w:t>
      </w:r>
    </w:p>
    <w:p>
      <w:pPr>
        <w:ind w:left="4140"/>
        <w:spacing w:after="0" w:line="180" w:lineRule="auto"/>
        <w:tabs>
          <w:tab w:leader="none" w:pos="69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111125</wp:posOffset>
            </wp:positionV>
            <wp:extent cx="27171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Number of Shares or Units of</w:t>
      </w:r>
    </w:p>
    <w:p>
      <w:pPr>
        <w:spacing w:after="0" w:line="19" w:lineRule="exact"/>
        <w:rPr>
          <w:sz w:val="20"/>
          <w:szCs w:val="20"/>
          <w:color w:val="auto"/>
        </w:rPr>
      </w:pPr>
    </w:p>
    <w:p>
      <w:pPr>
        <w:ind w:left="1260"/>
        <w:spacing w:after="0"/>
        <w:tabs>
          <w:tab w:leader="none" w:pos="4200" w:val="left"/>
          <w:tab w:leader="none" w:pos="52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Grant Date</w:t>
      </w:r>
      <w:r>
        <w:rPr>
          <w:sz w:val="20"/>
          <w:szCs w:val="20"/>
          <w:color w:val="auto"/>
        </w:rPr>
        <w:tab/>
      </w:r>
      <w:r>
        <w:rPr>
          <w:rFonts w:ascii="Times New Roman" w:cs="Times New Roman" w:eastAsia="Times New Roman" w:hAnsi="Times New Roman"/>
          <w:sz w:val="13"/>
          <w:szCs w:val="13"/>
          <w:b w:val="1"/>
          <w:bCs w:val="1"/>
          <w:color w:val="auto"/>
        </w:rPr>
        <w:t>Stock that Have Not Vested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22225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22225</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22225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479" w:firstLine="57"/>
        <w:spacing w:after="0" w:line="294" w:lineRule="auto"/>
        <w:rPr>
          <w:sz w:val="20"/>
          <w:szCs w:val="20"/>
          <w:color w:val="auto"/>
        </w:rPr>
      </w:pPr>
      <w:r>
        <w:rPr>
          <w:rFonts w:ascii="Times New Roman" w:cs="Times New Roman" w:eastAsia="Times New Roman" w:hAnsi="Times New Roman"/>
          <w:sz w:val="13"/>
          <w:szCs w:val="13"/>
          <w:b w:val="1"/>
          <w:bCs w:val="1"/>
          <w:color w:val="auto"/>
        </w:rPr>
        <w:t>Market Value of Shares or Units of Stock that Have Not Vested ($)</w:t>
      </w:r>
      <w:r>
        <w:rPr>
          <w:rFonts w:ascii="Times New Roman" w:cs="Times New Roman" w:eastAsia="Times New Roman" w:hAnsi="Times New Roman"/>
          <w:sz w:val="15"/>
          <w:szCs w:val="15"/>
          <w:b w:val="1"/>
          <w:bCs w:val="1"/>
          <w:color w:val="auto"/>
          <w:vertAlign w:val="superscript"/>
        </w:rPr>
        <w:t>(1)</w:t>
      </w:r>
    </w:p>
    <w:p>
      <w:pPr>
        <w:spacing w:after="0" w:line="1" w:lineRule="exact"/>
        <w:rPr>
          <w:sz w:val="20"/>
          <w:szCs w:val="20"/>
          <w:color w:val="auto"/>
        </w:rPr>
      </w:pPr>
    </w:p>
    <w:p>
      <w:pPr>
        <w:sectPr>
          <w:pgSz w:w="11900" w:h="16838" w:orient="portrait"/>
          <w:cols w:equalWidth="0" w:num="2">
            <w:col w:w="7040" w:space="320"/>
            <w:col w:w="25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1"/>
        </w:trPr>
        <w:tc>
          <w:tcPr>
            <w:tcW w:w="2660" w:type="dxa"/>
            <w:vAlign w:val="bottom"/>
            <w:tcBorders>
              <w:top w:val="single" w:sz="8" w:color="auto"/>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Mallorie Burak</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1/15/2024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CCEEFF"/>
            </w:tcBorders>
            <w:shd w:val="clear" w:color="auto" w:fill="CCEEFF"/>
          </w:tcPr>
          <w:p>
            <w:pPr>
              <w:jc w:val="right"/>
              <w:ind w:right="510"/>
              <w:spacing w:after="0" w:line="199" w:lineRule="exact"/>
              <w:rPr>
                <w:sz w:val="20"/>
                <w:szCs w:val="20"/>
                <w:color w:val="auto"/>
              </w:rPr>
            </w:pPr>
            <w:r>
              <w:rPr>
                <w:rFonts w:ascii="Times New Roman" w:cs="Times New Roman" w:eastAsia="Times New Roman" w:hAnsi="Times New Roman"/>
                <w:sz w:val="18"/>
                <w:szCs w:val="18"/>
                <w:color w:val="auto"/>
              </w:rPr>
              <w:t>1,299</w:t>
            </w:r>
            <w:r>
              <w:rPr>
                <w:rFonts w:ascii="Times New Roman" w:cs="Times New Roman" w:eastAsia="Times New Roman" w:hAnsi="Times New Roman"/>
                <w:sz w:val="23"/>
                <w:szCs w:val="23"/>
                <w:color w:val="auto"/>
                <w:vertAlign w:val="superscript"/>
              </w:rPr>
              <w:t>(2)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ind w:left="8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$5,183</w:t>
            </w:r>
          </w:p>
        </w:tc>
        <w:tc>
          <w:tcPr>
            <w:tcW w:w="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 6/27/2024</w:t>
            </w:r>
          </w:p>
        </w:tc>
        <w:tc>
          <w:tcPr>
            <w:tcW w:w="1900" w:type="dxa"/>
            <w:vAlign w:val="bottom"/>
          </w:tcPr>
          <w:p>
            <w:pPr>
              <w:jc w:val="right"/>
              <w:ind w:right="510"/>
              <w:spacing w:after="0" w:line="224" w:lineRule="exact"/>
              <w:rPr>
                <w:sz w:val="20"/>
                <w:szCs w:val="20"/>
                <w:color w:val="auto"/>
              </w:rPr>
            </w:pPr>
            <w:r>
              <w:rPr>
                <w:rFonts w:ascii="Times New Roman" w:cs="Times New Roman" w:eastAsia="Times New Roman" w:hAnsi="Times New Roman"/>
                <w:sz w:val="18"/>
                <w:szCs w:val="18"/>
                <w:color w:val="auto"/>
              </w:rPr>
              <w:t>625</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2160" w:type="dxa"/>
            <w:vAlign w:val="bottom"/>
          </w:tcPr>
          <w:p>
            <w:pPr>
              <w:ind w:left="82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$2,494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7"/>
        </w:trPr>
        <w:tc>
          <w:tcPr>
            <w:tcW w:w="2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10/16/2024</w:t>
            </w:r>
          </w:p>
        </w:tc>
        <w:tc>
          <w:tcPr>
            <w:tcW w:w="1900" w:type="dxa"/>
            <w:vAlign w:val="bottom"/>
            <w:shd w:val="clear" w:color="auto" w:fill="CCEEFF"/>
          </w:tcPr>
          <w:p>
            <w:pPr>
              <w:jc w:val="right"/>
              <w:ind w:right="510"/>
              <w:spacing w:after="0" w:line="256" w:lineRule="exact"/>
              <w:rPr>
                <w:sz w:val="20"/>
                <w:szCs w:val="20"/>
                <w:color w:val="auto"/>
              </w:rPr>
            </w:pPr>
            <w:r>
              <w:rPr>
                <w:rFonts w:ascii="Times New Roman" w:cs="Times New Roman" w:eastAsia="Times New Roman" w:hAnsi="Times New Roman"/>
                <w:sz w:val="18"/>
                <w:szCs w:val="18"/>
                <w:color w:val="auto"/>
              </w:rPr>
              <w:t>875</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2"/>
                <w:szCs w:val="22"/>
                <w:color w:val="auto"/>
              </w:rPr>
            </w:pPr>
          </w:p>
        </w:tc>
        <w:tc>
          <w:tcPr>
            <w:tcW w:w="2160" w:type="dxa"/>
            <w:vAlign w:val="bottom"/>
            <w:shd w:val="clear" w:color="auto" w:fill="CCEEFF"/>
          </w:tcPr>
          <w:p>
            <w:pPr>
              <w:ind w:left="8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$3,491</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3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$3.99 on December 31, 2025, the last trading day of our fiscal year 2025, as reported on the Nasdaq Capital Market.</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vesting in equal installments on January 15, 2027 and January 15, 2028, subject to the continued service to the Company through each vesting date.</w:t>
      </w:r>
    </w:p>
    <w:p>
      <w:pPr>
        <w:spacing w:after="0" w:line="13"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vesting in equal installments on June 27, 2026, June 27, 2027 and June 27, 2028, subject to the continued service to the Company through each vesting date.</w:t>
      </w:r>
    </w:p>
    <w:p>
      <w:pPr>
        <w:spacing w:after="0" w:line="13"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RSU award vesting in equal installments on October 16, 2026, October 16, 2027 and October 16, 2028, subject to the continued service to the Company through each vesting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or Change in Control Arrangements</w:t>
      </w:r>
    </w:p>
    <w:p>
      <w:pPr>
        <w:spacing w:after="0" w:line="158"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Mallorie Burak</w:t>
      </w:r>
      <w:r>
        <w:rPr>
          <w:rFonts w:ascii="Times New Roman" w:cs="Times New Roman" w:eastAsia="Times New Roman" w:hAnsi="Times New Roman"/>
          <w:sz w:val="18"/>
          <w:szCs w:val="18"/>
          <w:color w:val="auto"/>
        </w:rPr>
        <w:t>. In connection with Ms. Burak’s appointment as Chief Financial Officer and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executive officer, the Company and Ms. Burak entered into a severance and change in control agreement (the “Burak CIC Agreement”), effective as of June 1, 2024. Under the terms of the Burak CIC Agreement, in a Qualifying Termination (as defined in the Burak CIC Agreement) not in connection with a</w:t>
      </w:r>
    </w:p>
    <w:p>
      <w:pPr>
        <w:sectPr>
          <w:pgSz w:w="11900" w:h="16838" w:orient="portrait"/>
          <w:cols w:equalWidth="0" w:num="1">
            <w:col w:w="9879"/>
          </w:cols>
          <w:pgMar w:left="580" w:top="97" w:right="1440" w:bottom="1440" w:gutter="0" w:footer="0" w:header="0"/>
          <w:type w:val="continuous"/>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Change in Control (as defined in the Burak CIC Agreement), Ms. Burak is entitled to (a) a one-time lump sum payment by the Company in an amount equal to 12 months of her monthly base salary plus an amount equal to 100% of her target bonus, (b) accelerated vesting of 50% of unvested equity awards (other than awards that vest upon satisfaction of performance criteria), and (c) if Ms. Burak timely elects continued coverage under the Consolidated Omnibus Budget Reconciliation Act of 1985, as amended (“COBRA”), the Company or its successor will pay the full amount of Ms. Burak’s COBRA premiums on her behalf for</w:t>
      </w:r>
    </w:p>
    <w:p>
      <w:pPr>
        <w:spacing w:after="0" w:line="5"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12 months. In the event of a Qualifying Termination in connection with a Change in Control, Ms. Burak is entitled to the same benefits set forth above, except that she will also be eligible to receive 100% accelerated vesting of all outstanding equity awards, with payment at target for performance-based equity awards. The foregoing amounts and benefits are subject to Ms. Burak’s timely execution of a general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accordance with the SEC’s disclosure requirements, we are providing the following information about the relationship between executive compensation, our total shareholder return and net income (loss) for the most recent three years. For further information about our executive compensation program, including how we link compensation to performance, see “Executive Compensation” above.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each of the fiscal years ended December 31, 2025, 2024 and 2023, and our financial performance for each such fiscal year. The amounts shown for “Compensation Actually Paid” reflect the Summary Compensation Table total with certain adjustments, as described in footnote 2 below, but do not reflect compensation actually earned, realized, or received by our NEOs.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Initial Fixed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Based 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Mallorie</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Mallorie</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Net Income</w:t>
            </w: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Burak</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Prior PEO</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Burak</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Prior 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(Loss)</w:t>
            </w:r>
          </w:p>
        </w:tc>
      </w:tr>
      <w:tr>
        <w:trPr>
          <w:trHeight w:val="200"/>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Year</w:t>
            </w:r>
            <w:r>
              <w:rPr>
                <w:rFonts w:ascii="Times New Roman" w:cs="Times New Roman" w:eastAsia="Times New Roman" w:hAnsi="Times New Roman"/>
                <w:sz w:val="17"/>
                <w:szCs w:val="17"/>
                <w:b w:val="1"/>
                <w:bCs w:val="1"/>
                <w:color w:val="auto"/>
                <w:w w:val="93"/>
                <w:vertAlign w:val="superscript"/>
              </w:rPr>
              <w:t>(1)</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91"/>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126"/>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(2)</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127"/>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$790,000</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CCEEFF"/>
            </w:tcBorders>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 ​$700,323</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(9,593,000)</w:t>
            </w:r>
          </w:p>
        </w:tc>
        <w:tc>
          <w:tcPr>
            <w:tcW w:w="6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$849,551</w:t>
            </w: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​​​$1,343,485 ​​​ ​$827,219</w:t>
            </w:r>
          </w:p>
        </w:tc>
        <w:tc>
          <w:tcPr>
            <w:tcW w:w="1940" w:type="dxa"/>
            <w:vAlign w:val="bottom"/>
            <w:gridSpan w:val="6"/>
          </w:tcPr>
          <w:p>
            <w:pPr>
              <w:jc w:val="right"/>
              <w:ind w:right="25"/>
              <w:spacing w:after="0"/>
              <w:rPr>
                <w:sz w:val="20"/>
                <w:szCs w:val="20"/>
                <w:color w:val="auto"/>
              </w:rPr>
            </w:pPr>
            <w:r>
              <w:rPr>
                <w:rFonts w:ascii="Times New Roman" w:cs="Times New Roman" w:eastAsia="Times New Roman" w:hAnsi="Times New Roman"/>
                <w:sz w:val="18"/>
                <w:szCs w:val="18"/>
                <w:color w:val="auto"/>
              </w:rPr>
              <w:t>​​​​$1,327,687 ​​​ ​$ 52,000</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52,000</w:t>
            </w:r>
          </w:p>
        </w:tc>
        <w:tc>
          <w:tcPr>
            <w:tcW w:w="84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 ​$120.81</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​$(18,398,000)</w:t>
            </w:r>
          </w:p>
        </w:tc>
      </w:tr>
      <w:tr>
        <w:trPr>
          <w:trHeight w:val="229"/>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565,500 ​​​ ​</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CCEEFF"/>
            </w:tcBorders>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583,450 ​​​ ​$812,842</w:t>
            </w:r>
          </w:p>
        </w:tc>
        <w:tc>
          <w:tcPr>
            <w:tcW w:w="980" w:type="dxa"/>
            <w:vAlign w:val="bottom"/>
            <w:tcBorders>
              <w:right w:val="single" w:sz="8" w:color="CCEEFF"/>
            </w:tcBorders>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 ​$826,227</w:t>
            </w:r>
          </w:p>
        </w:tc>
        <w:tc>
          <w:tcPr>
            <w:tcW w:w="840" w:type="dxa"/>
            <w:vAlign w:val="bottom"/>
            <w:tcBorders>
              <w:right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​$218.90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​$(19,366,763)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-427990</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-427990</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-427990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-427990</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-427990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-427990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-427990</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1065530</wp:posOffset>
            </wp:positionH>
            <wp:positionV relativeFrom="paragraph">
              <wp:posOffset>-427990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43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shown, our principal executive officers, or PEOs, and our remaining NEOs or Non-PEO NEOs, represent the following individuals: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PEOs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Mallorie Burak</w:t>
            </w:r>
          </w:p>
        </w:tc>
        <w:tc>
          <w:tcPr>
            <w:tcW w:w="22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None</w:t>
            </w:r>
          </w:p>
        </w:tc>
        <w:tc>
          <w:tcPr>
            <w:tcW w:w="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Mallorie Burak, Cesar Johnston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Susan Kim-van Dongen</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Cesar Johnston</w:t>
            </w:r>
          </w:p>
        </w:tc>
        <w:tc>
          <w:tcPr>
            <w:tcW w:w="3600" w:type="dxa"/>
            <w:vAlign w:val="bottom"/>
            <w:gridSpan w:val="3"/>
          </w:tcPr>
          <w:p>
            <w:pPr>
              <w:jc w:val="right"/>
              <w:spacing w:after="0" w:line="285"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William Mannina, Susan Kim-van Dongen </w:t>
            </w:r>
            <w:r>
              <w:rPr>
                <w:rFonts w:ascii="Times New Roman" w:cs="Times New Roman" w:eastAsia="Times New Roman" w:hAnsi="Times New Roman"/>
                <w:sz w:val="33"/>
                <w:szCs w:val="33"/>
                <w:color w:val="auto"/>
                <w:vertAlign w:val="superscript"/>
              </w:rPr>
              <w:t>​</w:t>
            </w:r>
          </w:p>
        </w:tc>
      </w:tr>
    </w:tbl>
    <w:p>
      <w:pPr>
        <w:ind w:left="1620" w:right="419" w:hanging="360"/>
        <w:spacing w:after="0" w:line="254"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PEOs and the average compensation actually paid to our non-PEO NEOs for the relevant fiscal year as determined under Item 402(v)(2)(iii) of Regulation S-K to calculate “compensation actually paid,” which for 2025 include the following adjustments for our PEO:</w:t>
      </w:r>
    </w:p>
    <w:p>
      <w:pPr>
        <w:spacing w:after="0" w:line="399"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Summary Compensation Table Total to Compensation Actually Paid for PEO Mallorie Burak for 2025</w:t>
      </w:r>
    </w:p>
    <w:p>
      <w:pPr>
        <w:spacing w:after="0" w:line="78"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To calculate the amounts in the “Compensation Actually Paid to PEO Mallorie Burak” column in the table above, the following amounts were deducted from or added to (as applicable) Mallorie Burak’s total compensation as reported in the Summary Compensation Table:</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Awards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Granted in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Prior Years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Increase or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are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Year-over-Year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Determined to</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Increase or</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from Prior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Fail to Meet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Year-End</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Awards</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 Applicable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Awards</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 Unvested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for Awards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and Vested</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Conditions</w:t>
            </w: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Mallorie Burak</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Mallorie Burak</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Prior Years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the Year</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Mallorie Burak</w:t>
            </w:r>
          </w:p>
        </w:tc>
      </w:tr>
      <w:tr>
        <w:trPr>
          <w:trHeight w:val="214"/>
        </w:trPr>
        <w:tc>
          <w:tcPr>
            <w:tcW w:w="52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Year  </w:t>
            </w:r>
            <w:r>
              <w:rPr>
                <w:rFonts w:ascii="Times New Roman" w:cs="Times New Roman" w:eastAsia="Times New Roman" w:hAnsi="Times New Roman"/>
                <w:sz w:val="24"/>
                <w:szCs w:val="24"/>
                <w:b w:val="1"/>
                <w:bCs w:val="1"/>
                <w:color w:val="auto"/>
                <w:vertAlign w:val="subscript"/>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center"/>
              <w:ind w:right="2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​$(73,642)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​$(16,035)​</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​$700,323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-170815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-170815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-170815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-170815</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1065530</wp:posOffset>
            </wp:positionH>
            <wp:positionV relativeFrom="paragraph">
              <wp:posOffset>-170815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65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awards granted to Mallorie Burak, as reported in the Summary Compensation Table.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and Financial Performance Measures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graph below compares the compensation actually paid to our PEOs and the average of the compensation actually paid to our Non-PEO NEOs, with our cumulative total shareholder return, or TSR, for the fiscal years ended December 31, 2025, 2024 and 2023. TSR amounts reported in the graph assume an initial fixed investment of $100 beginning December 31, 2022. PEO 1 below is Cesar Johnston, and PEO 2 below is 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102235</wp:posOffset>
            </wp:positionV>
            <wp:extent cx="4011930" cy="3335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11930" cy="333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 graph below compares the compensation actually paid to our PEOs and the average of the compensation actually paid to our Non-PEO NEOs, with our net loss, 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106045</wp:posOffset>
            </wp:positionV>
            <wp:extent cx="4011930" cy="33000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1193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Other than compensation agreements and other arrangements that are described in “Executive Compensation,” in fiscal years 2025 and 2024 there were not, and there is not currently proposed, any transaction or series of similar transactions to which we were or will be involved, in which the amount exceeded or will exceed the lesser of $120,000 or one percent of the average of our total assets at year-end for the last two completed fiscal years, and in which any director, director nominee, executive officer, holder of five percent or more of any class of our capital stock or any member of their immediate family had or will have a direct or indirect material interest.</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Board has adopted a written policy with regard to related person transactions, which sets forth our procedures and standards for the review, approval or ratification of any transaction required to be reported in our filings with the SEC or in which one of our executive officers or directors has a direct or indirect material financial interest, with limited exceptions. Our policy is that the Corporate Governance and Nominating Committee shall review the material facts of all related person transactions (as defined in the related person transaction approval policy) and either approve or disapprove of the entry into any related person transaction. In the event that obtaining the advance approval of the Corporate Governance and Nominating Committee is not feasible, the Corporate Governance and Nominating Committee shall consider the related person transaction and, if the Corporate Governance and Nominating Committee determines it to be appropriate, may ratify the related person transaction. In determining whether to approve or ratify a related person transaction, the Corporate Governance and Nominating Committee will take into account, among other factors it deems appropriate, whether the related person transaction is on terms comparable to those available from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comprises Mr. Dodson, Mr. Roberson and Mr. Patel. None of the current or former members of the Audit Committee is an officer or employee of the Company, and the Board has determined that each member of the Audit Committee meets the independence requirements promulgated by The Nasdaq Stock Market and the SEC, including Rule 10A-3(b)(1) under the Exchange Act.</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Management has the primary responsibility for the financial statements and the reporting process, including the systems of internal controls and the certification of the integrity and reliability of the Company’s internal controls procedures. In fulfilling its oversight responsibilities, the Audit Committee has reviewed the Company’s audited financial statements included in the Annual Report on Form 10-K for the fiscal year ended December 31, 2025, and has discussed them with both management and BPM LLP (“BPM”), the Company’s independent registered public accounting firm. The Audit Committee has also discussed with the independent registered public accounting firm the matters required to be discussed by the Auditing Standard No. 16, Communications with Audit Committees, as adopted by the Public Company Accounting Oversight Board, and the applicable requirements of the SEC. The Audit Committee has reviewed permitted services under rules of the SEC as currently in effect and discussed with BPM their independence from management and the Company. The Audit Committee has received the written disclosures and the letter from the independent registered public accounting firm required by the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and discussed the compatibility of non-audit services provided by BPM with that firm’s independence.</w:t>
      </w:r>
    </w:p>
    <w:p>
      <w:pPr>
        <w:spacing w:after="0" w:line="11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Based on its review of the financial statements and the aforementioned discussions, the Audit Committee concluded that it would be reasonable to recommend, and on that basis did recommend, to the Board of Directors that the audited financial statements be included in the 2025 Annual Report.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 Michael Dodson,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Roberson</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Rahul Patel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pursuant to SEC Rule 14a-8 must submit the proposal so that it is received by us no later than December 30, 2026, unless the date of our 2027 Annual Meeting is more than 30 days before or after June 11, 2027 in which case the proposal must be received a reasonable time before we begin to print and send our proxy materials. SEC rules set standards for eligibility and specify the types of stockholder proposals that may be excluded from a proxy statement. Stockholder proposals should be addressed to the Corporate Secretary, Energous Corporation, 3590 North First Street, Suite 330, San Jose, California 95134.</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stockholder proposals submitted outside of the SEC proposal rules, our Bylaws require that advance written notice in proper form of stockholder proposals for matters to be brought before an annual meeting be received by our Corporate Secretary not less than 90 days or more than 120 days before the first anniversary date of the immediately preceding annual meeting. Accordingly, notice of stockholder proposals for the 2027 Annual Meeting of Stockholders must be received by us between February 11, 2027 and March 13, 2027. If the date of the 2027 Annual Meeting of Stockholders is more than 30 days before or</w:t>
      </w:r>
    </w:p>
    <w:p>
      <w:pPr>
        <w:spacing w:after="0" w:line="5"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60 days after June 11, 2027, we must receive the proposal or nomination no earlier than the 90th day before the annual meeting date and no later than the 60th day before the annual meeting date, or the 10th day following the day on which public disclosure of the date of the 2026 Annual Meeting of Stockholders is made if the annual meeting is more than 30 days before or more than 60 days after the first anniversary date of the preceding year’s annual meeting. In addition to satisfying the notice requirements under our Bylaws, to comply with the universal proxy rules, the proposing stockholder should also comply with the additional requirements of a proper notice under SEC Rule 14a-19, which includes the statement that such stockholder intends to solicit at least 67% of the voting power of our shares of common stock entitled to vote on the election of directors in support of director nominees other than our nominees. If any change occurs with respect to such stockholder’s intent to solicit the holders of shares representing at least 67% of such voting power, such stockholder must notify us promptly.</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permitted by the Securities Exchange Act of 1934, we may deliver a single copy of the Notice or the 2025 Annual Report and this proxy statement to multiple record stockholders sharing an address. This is known as “householding”. We will deliver promptly upon written or oral request a separate copy of these materials to any holder at a shared address to which a single copy of the proxy materials was delivered. If you want to receive separate copies of the Notice, proxy statement or 2025 Annual Report in the future, or if you are receiving multiple copies and would like to receive only one copy per household, you should contact your broker, bank, trustee or other nominee or custodian record holder, or you may contact us at: Investor Relations Department at Energous Corporation, 3590 North First Street, Suite 330, San Jose, California 95134, or via telephone at (408) 963-0200.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62"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Board knows of no business that will be presented for consideration at the Annual Meeting other than those items stated above. If any other business should come before the Annual Meeting, votes may be cast pursuant to proxies in respect to any such business in the best judgment of the person or persons acting as proxyholder under the proxies.</w:t>
      </w:r>
    </w:p>
    <w:p>
      <w:pPr>
        <w:spacing w:after="0" w:line="108"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11, 2026</w:t>
      </w:r>
      <w:r>
        <w:rPr>
          <w:rFonts w:ascii="Times New Roman" w:cs="Times New Roman" w:eastAsia="Times New Roman" w:hAnsi="Times New Roman"/>
          <w:sz w:val="18"/>
          <w:szCs w:val="18"/>
          <w:color w:val="auto"/>
        </w:rPr>
        <w:t>: The proxy statement and 2025 Annual Report are available at www.proxyvote.com.</w:t>
      </w:r>
    </w:p>
    <w:p>
      <w:pPr>
        <w:spacing w:after="0" w:line="74"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2025 Annual Report is available without charge upon written request to: Secretary, Energous Corporation, 3590 North First Street, Suite 330, San Jose, California 95134.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AMENDED AND RESTATED 2024 EQUITY INCENTIVE PLAN</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(amended and restated effective:                               )</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Energous Corporation sets forth herein the terms and conditions of its Amended and Restated 2024</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Incentive Plan, as follows: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PURPOSE AND ESTABLISHMENT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1.1 Purpose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Plan is intended to enhance the Company’s and its Affiliates’ ability to attract and retain highly qualified officers, Non-Employee Directors, employees and Consultants, and to motivate such officers, Non-Employee Directors, employees and Consultants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performance share units, other share-based awards and cash awards. Any of these awards may, but need not, be made as performance incentives to reward attainment of performance goals in accordance with the terms and conditions hereof. Stock options granted under the Plan may be non-qualified stock options or incentive stock options, as provided herein.</w:t>
      </w:r>
    </w:p>
    <w:p>
      <w:pPr>
        <w:spacing w:after="0" w:line="1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1.2 Replacement Plan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Plan replaces the following plans of the Company: (i) the Company’s 2013 Equity Incentive Plan,</w:t>
      </w:r>
    </w:p>
    <w:p>
      <w:pPr>
        <w:spacing w:after="0" w:line="27" w:lineRule="exact"/>
        <w:rPr>
          <w:sz w:val="20"/>
          <w:szCs w:val="20"/>
          <w:color w:val="auto"/>
        </w:rPr>
      </w:pPr>
    </w:p>
    <w:p>
      <w:pPr>
        <w:ind w:left="1260" w:right="479"/>
        <w:spacing w:after="0"/>
        <w:tabs>
          <w:tab w:leader="none" w:pos="15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2014 Non-Employee Equity Compensation Plan, (iii) the Company’s Performance Share Unit Plan, and (iv) the Company’s 2017 Equity Inducement Plan (the “</w:t>
      </w:r>
      <w:r>
        <w:rPr>
          <w:rFonts w:ascii="Times New Roman" w:cs="Times New Roman" w:eastAsia="Times New Roman" w:hAnsi="Times New Roman"/>
          <w:sz w:val="18"/>
          <w:szCs w:val="18"/>
          <w:b w:val="1"/>
          <w:bCs w:val="1"/>
          <w:color w:val="auto"/>
        </w:rPr>
        <w:t>Inducement Plan</w:t>
      </w:r>
      <w:r>
        <w:rPr>
          <w:rFonts w:ascii="Times New Roman" w:cs="Times New Roman" w:eastAsia="Times New Roman" w:hAnsi="Times New Roman"/>
          <w:sz w:val="18"/>
          <w:szCs w:val="18"/>
          <w:color w:val="auto"/>
        </w:rPr>
        <w:t>,” and collectively with the other plans in clauses (i) through (iii), the “</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xml:space="preserve">”). The Prior Plans shall be frozen, and no further awards may be made under the Prior Plans on or after the Effective Date (as defined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However, the Prior Plans shall continue to govern the terms and conditions of outstanding awards granted pursuant to the Prior Plans.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14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For purposes of interpreting the Plan and related documents (including Award Agreements), the following definitions shall apply: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Acquiror”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7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company or other trade or business that “controls,” is “controlled by”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the Company within the meaning of Rule 405 of Regulation C under the Securities Act, including any Subsidiary.</w:t>
      </w:r>
    </w:p>
    <w:p>
      <w:pPr>
        <w:spacing w:after="0" w:line="97"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Annual Incentive Award” </w:t>
      </w:r>
      <w:r>
        <w:rPr>
          <w:rFonts w:ascii="Times New Roman" w:cs="Times New Roman" w:eastAsia="Times New Roman" w:hAnsi="Times New Roman"/>
          <w:sz w:val="18"/>
          <w:szCs w:val="18"/>
          <w:color w:val="auto"/>
        </w:rPr>
        <w:t>means a cash-based Performance Award with a performance period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Company’s fiscal year or other 12-month (or shorter) performance period as specified under the terms and conditions of the Award as approved by the Committee.</w:t>
      </w:r>
    </w:p>
    <w:p>
      <w:pPr>
        <w:spacing w:after="0" w:line="104" w:lineRule="exact"/>
        <w:rPr>
          <w:sz w:val="20"/>
          <w:szCs w:val="20"/>
          <w:color w:val="auto"/>
        </w:rPr>
      </w:pPr>
    </w:p>
    <w:p>
      <w:pPr>
        <w:jc w:val="both"/>
        <w:ind w:left="1260" w:right="8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a grant of an Option, SAR, RSU, Restricted Stock, Stock Award,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(including a Performance Share Unit), Other Share-based Award or cash award under the Plan.</w:t>
      </w:r>
    </w:p>
    <w:p>
      <w:pPr>
        <w:spacing w:after="0" w:line="74" w:lineRule="exact"/>
        <w:rPr>
          <w:sz w:val="20"/>
          <w:szCs w:val="20"/>
          <w:color w:val="auto"/>
        </w:rPr>
      </w:pPr>
    </w:p>
    <w:p>
      <w:pPr>
        <w:jc w:val="both"/>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Award Agreement” </w:t>
      </w:r>
      <w:r>
        <w:rPr>
          <w:rFonts w:ascii="Times New Roman" w:cs="Times New Roman" w:eastAsia="Times New Roman" w:hAnsi="Times New Roman"/>
          <w:sz w:val="18"/>
          <w:szCs w:val="18"/>
          <w:color w:val="auto"/>
        </w:rPr>
        <w:t>means a written (including electronic) agreement between the Company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or notice from the Company or an Affiliate to a Grantee that evidences and sets out the terms and conditions of an Award.</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of the Company</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be defined as that term is defined in the Grantee’s offer letter or 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or, if there is no such definition, “Cause” means, unless otherwise provided in the applicable Award Agreement: (i) the commission of any act by the Grantee constituting financial dishonesty against the Company or its Affiliates (which act would be chargeable as a crime under applicable law);</w:t>
      </w:r>
    </w:p>
    <w:p>
      <w:pPr>
        <w:ind w:left="1260" w:right="419"/>
        <w:spacing w:after="0" w:line="239" w:lineRule="auto"/>
        <w:tabs>
          <w:tab w:leader="none" w:pos="15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engaging in any other act of dishonesty, fraud, intentional misrepresentation, moral turpitude, illegality or harassment that would (a) materially adversely affect the business or the reputation of the Company or any of its Affiliates with their respective current or prospective customers, suppliers, lenders or other third parties with whom such entity does or might do business or (b) expose the Company or any of its Affiliates to a risk of civil or criminal legal damages, liabilities or penalties or reputational harm; (iii) the repeated failure by the Grantee to follow the directives of the Chief Executive Officer of the Company or any of its Affiliates or the Board or other person to whom the Grantee directly reports; or</w:t>
      </w:r>
    </w:p>
    <w:p>
      <w:pPr>
        <w:spacing w:after="0" w:line="3" w:lineRule="exact"/>
        <w:rPr>
          <w:rFonts w:ascii="Times New Roman" w:cs="Times New Roman" w:eastAsia="Times New Roman" w:hAnsi="Times New Roman"/>
          <w:sz w:val="18"/>
          <w:szCs w:val="18"/>
          <w:color w:val="auto"/>
        </w:rPr>
      </w:pPr>
    </w:p>
    <w:p>
      <w:pPr>
        <w:ind w:left="1260" w:right="519"/>
        <w:spacing w:after="0" w:line="246" w:lineRule="auto"/>
        <w:tabs>
          <w:tab w:leader="none" w:pos="15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violation of the Company’s or Affiliates’ policies or agreement to which the Grantee is subject, or willful and deliberate non-performance of duty by the Grantee in connection with the business affairs of the Company or its Affiliates.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United States Internal Revenue Code of 1986.</w:t>
      </w:r>
    </w:p>
    <w:p>
      <w:pPr>
        <w:spacing w:after="0" w:line="158"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the Compensation Committee of the Board or any committee or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persons designated by the Board to administer the Plan. The Board will cause the Committee to satisfy the applicable requirements of any securities exchange on which the Common Stock may then be listed. For purposes of Awards to Grantees who are subject to Section 16 of the Exchange Act, Committee means all of the members of the Committee who are “non-employee directors” within the meaning of Rule 16b-3 adopted under the Exchange Act.</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Energous Corporation, a Delaware Corporation, or any successor corporation.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common stock of the Company.</w:t>
      </w:r>
    </w:p>
    <w:p>
      <w:pPr>
        <w:spacing w:after="0" w:line="15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Consultant” </w:t>
      </w:r>
      <w:r>
        <w:rPr>
          <w:rFonts w:ascii="Times New Roman" w:cs="Times New Roman" w:eastAsia="Times New Roman" w:hAnsi="Times New Roman"/>
          <w:sz w:val="18"/>
          <w:szCs w:val="18"/>
          <w:color w:val="auto"/>
        </w:rPr>
        <w:t>means a consultant or advisor that provides bona fide services to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and who qualifies as a consultant or advisor under Form S-8.</w:t>
      </w:r>
    </w:p>
    <w:p>
      <w:pPr>
        <w:spacing w:after="0" w:line="86"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shall be defined as that term is defined in the Grantee’s offer letter or 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agreement, or, if there is no such definition, “Disability” means, unless otherwise provided in the applicable Award Agreement, the Grantee is unable to perform each of the essential duties of such Grantee’s position by reason of a medically determinable physical or mental impairment that is potentially permanent in character or that can be expected to last for a continuous period of not less than 12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 that, with respect to rules regarding expiration of an Incentive Stock Option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Grantee’s Service, “Disability” means “permanent and total disability” as set forth in Code Section 22(e)(3).</w:t>
      </w:r>
    </w:p>
    <w:p>
      <w:pPr>
        <w:spacing w:after="0" w:line="322" w:lineRule="exact"/>
        <w:rPr>
          <w:sz w:val="20"/>
          <w:szCs w:val="20"/>
          <w:color w:val="auto"/>
        </w:rPr>
      </w:pPr>
    </w:p>
    <w:p>
      <w:pPr>
        <w:ind w:left="1260" w:right="6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the Plan was initially approved by the Stockholders, which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June 12, 2024.</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2.17 “Eligible Prior Plans”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United States Securities Exchange Act of 1934.</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of a Share as of a particular date means (i) if the Common Stock is listed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securities exchange, the closing or last price of the Common Stock on the composite tape or other comparable reporting system for the applicable date, or if the applicable date is not a trading day, the trading day immediately preceding the applicable date, or (ii) if the Common Stock is not then listed on a national securities exchange, the closing or last price of the Common Stock quoted by an established quotation service for over-the -counter securities, or (iii) if the Common Stock is not then listed on a national securities exchange or quoted by an established quotation service for over-the-counter securities, or the value of the Common Stock is not otherwise determinable, such value as determined by the Committee.</w:t>
      </w:r>
    </w:p>
    <w:p>
      <w:pPr>
        <w:spacing w:after="0" w:line="112" w:lineRule="exact"/>
        <w:rPr>
          <w:sz w:val="20"/>
          <w:szCs w:val="20"/>
          <w:color w:val="auto"/>
        </w:rPr>
      </w:pPr>
    </w:p>
    <w:p>
      <w:pPr>
        <w:jc w:val="both"/>
        <w:ind w:left="126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means a person who is a spouse, former spouse, child, stepchild, grandchild,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stepparent, grandparent, niece, nephew, mother-in-law, father-in-law, son-in-law, daughter-in-law,</w:t>
      </w: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brother, sister, brother-in-law or sister-in-law, including adoptive relationships, of the applicable individual, any person sharing the applicable individual’s household (other than a tenant or employee), a trust in which any one or more of these persons have more than 50% of the beneficial interest, a foundation in which any one or more of these persons (or the applicable individual) control the management of assets, and any other entity in which one or more of these persons (or the applicable individual) own more than 50% of the voting interests.</w:t>
      </w:r>
    </w:p>
    <w:p>
      <w:pPr>
        <w:spacing w:after="0" w:line="332" w:lineRule="exact"/>
        <w:rPr>
          <w:sz w:val="20"/>
          <w:szCs w:val="20"/>
          <w:color w:val="auto"/>
        </w:rPr>
      </w:pPr>
    </w:p>
    <w:p>
      <w:pPr>
        <w:ind w:left="126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means the latest to occur of (i) the date as of which the Committee approves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(ii) the date on which the recipient of an Award first becomes eligible to receive an Award under </w:t>
      </w: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color w:val="auto"/>
        </w:rPr>
        <w:t>or (iii) such other date as may be specified by the Committee in the Award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Grantee” </w:t>
      </w:r>
      <w:r>
        <w:rPr>
          <w:rFonts w:ascii="Times New Roman" w:cs="Times New Roman" w:eastAsia="Times New Roman" w:hAnsi="Times New Roman"/>
          <w:sz w:val="18"/>
          <w:szCs w:val="18"/>
          <w:color w:val="auto"/>
        </w:rPr>
        <w:t>means a person who receives or holds an Award.</w:t>
      </w:r>
    </w:p>
    <w:p>
      <w:pPr>
        <w:spacing w:after="0" w:line="144" w:lineRule="exact"/>
        <w:rPr>
          <w:sz w:val="20"/>
          <w:szCs w:val="20"/>
          <w:color w:val="auto"/>
        </w:rPr>
      </w:pPr>
    </w:p>
    <w:p>
      <w:pPr>
        <w:ind w:left="1260" w:right="12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Incentive Stock Option” </w:t>
      </w:r>
      <w:r>
        <w:rPr>
          <w:rFonts w:ascii="Times New Roman" w:cs="Times New Roman" w:eastAsia="Times New Roman" w:hAnsi="Times New Roman"/>
          <w:sz w:val="18"/>
          <w:szCs w:val="18"/>
          <w:color w:val="auto"/>
        </w:rPr>
        <w:t>means an “incentive stock option” within the meaning of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Incumbent Directors”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Inducement Plan”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Non-Employee Director” </w:t>
      </w:r>
      <w:r>
        <w:rPr>
          <w:rFonts w:ascii="Times New Roman" w:cs="Times New Roman" w:eastAsia="Times New Roman" w:hAnsi="Times New Roman"/>
          <w:sz w:val="18"/>
          <w:szCs w:val="18"/>
          <w:color w:val="auto"/>
        </w:rPr>
        <w:t>means a member of the Board or the board of directors of an Affiliate,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who is not an officer or employee of the Company or any Affiliate.</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Non-qualified Stock Option” </w:t>
      </w:r>
      <w:r>
        <w:rPr>
          <w:rFonts w:ascii="Times New Roman" w:cs="Times New Roman" w:eastAsia="Times New Roman" w:hAnsi="Times New Roman"/>
          <w:sz w:val="18"/>
          <w:szCs w:val="18"/>
          <w:color w:val="auto"/>
        </w:rPr>
        <w:t>means an Option that is not an Incentive Stock Option.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an option to purchase one or more Shares pursuant to the Plan.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Option Price” </w:t>
      </w:r>
      <w:r>
        <w:rPr>
          <w:rFonts w:ascii="Times New Roman" w:cs="Times New Roman" w:eastAsia="Times New Roman" w:hAnsi="Times New Roman"/>
          <w:sz w:val="18"/>
          <w:szCs w:val="18"/>
          <w:color w:val="auto"/>
        </w:rPr>
        <w:t>means the exercise price for each Share subject to an Option.</w:t>
      </w:r>
    </w:p>
    <w:p>
      <w:pPr>
        <w:spacing w:after="0" w:line="158" w:lineRule="exact"/>
        <w:rPr>
          <w:sz w:val="20"/>
          <w:szCs w:val="20"/>
          <w:color w:val="auto"/>
        </w:rPr>
      </w:pPr>
    </w:p>
    <w:p>
      <w:pPr>
        <w:jc w:val="both"/>
        <w:ind w:left="126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Other Share-based Awards” </w:t>
      </w:r>
      <w:r>
        <w:rPr>
          <w:rFonts w:ascii="Times New Roman" w:cs="Times New Roman" w:eastAsia="Times New Roman" w:hAnsi="Times New Roman"/>
          <w:sz w:val="18"/>
          <w:szCs w:val="18"/>
          <w:color w:val="auto"/>
        </w:rPr>
        <w:t>means Awards consisting of Share units, or other Awards, valued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by reference to, or otherwise based on, Common Stock, other than Options, SARs, RSUs, Restricted Stock, Stock Awards, or Performance Share Units.</w:t>
      </w:r>
    </w:p>
    <w:p>
      <w:pPr>
        <w:spacing w:after="0" w:line="103" w:lineRule="exact"/>
        <w:rPr>
          <w:sz w:val="20"/>
          <w:szCs w:val="20"/>
          <w:color w:val="auto"/>
        </w:rPr>
      </w:pPr>
    </w:p>
    <w:p>
      <w:pPr>
        <w:jc w:val="both"/>
        <w:ind w:left="1260" w:right="6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Performance Award” </w:t>
      </w:r>
      <w:r>
        <w:rPr>
          <w:rFonts w:ascii="Times New Roman" w:cs="Times New Roman" w:eastAsia="Times New Roman" w:hAnsi="Times New Roman"/>
          <w:sz w:val="18"/>
          <w:szCs w:val="18"/>
          <w:color w:val="auto"/>
        </w:rPr>
        <w:t>means an Award made subject to the attainment of performance goals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over a performance period of at least one year established by the Committee, and includes an Annual Incentive Award and Performance Share Units.</w:t>
      </w:r>
    </w:p>
    <w:p>
      <w:pPr>
        <w:spacing w:after="0" w:line="90"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Performance Share Unit” </w:t>
      </w:r>
      <w:r>
        <w:rPr>
          <w:rFonts w:ascii="Times New Roman" w:cs="Times New Roman" w:eastAsia="Times New Roman" w:hAnsi="Times New Roman"/>
          <w:sz w:val="18"/>
          <w:szCs w:val="18"/>
          <w:color w:val="auto"/>
        </w:rPr>
        <w:t>means a bookkeeping entry reflecting the right to receive Shares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equivalent subject to the satisfaction of specified terms and conditions, including performance terms, awarded to a Grantee pursuant to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 individual, entity or group within the meaning of Section 13(d)(3) or 14(d)(2)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Exchange Act.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this Energous Corporation Amended and Restated 2024 Equity Incentive Plan.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2.35 “Prior Plans”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means the purchase price for each Share pursuant to a grant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Stock Award.</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means restricted Shares that are subject to specified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awarded to a Grantee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Stock Unit” or “RSU” </w:t>
      </w:r>
      <w:r>
        <w:rPr>
          <w:rFonts w:ascii="Times New Roman" w:cs="Times New Roman" w:eastAsia="Times New Roman" w:hAnsi="Times New Roman"/>
          <w:sz w:val="18"/>
          <w:szCs w:val="18"/>
          <w:color w:val="auto"/>
        </w:rPr>
        <w:t>means a bookkeeping entry representing the right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or their cash equivalent subject to the satisfaction of specified terms and conditions, awarded to a Grantee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60" w:right="8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SAR Exercise Price” </w:t>
      </w:r>
      <w:r>
        <w:rPr>
          <w:rFonts w:ascii="Times New Roman" w:cs="Times New Roman" w:eastAsia="Times New Roman" w:hAnsi="Times New Roman"/>
          <w:sz w:val="18"/>
          <w:szCs w:val="18"/>
          <w:color w:val="auto"/>
        </w:rPr>
        <w:t>means the per Share exercise price of a SAR granted to a Grantee under</w:t>
      </w:r>
      <w:r>
        <w:rPr>
          <w:rFonts w:ascii="Times New Roman" w:cs="Times New Roman" w:eastAsia="Times New Roman" w:hAnsi="Times New Roman"/>
          <w:sz w:val="18"/>
          <w:szCs w:val="18"/>
          <w:b w:val="1"/>
          <w:bCs w:val="1"/>
          <w:color w:val="auto"/>
        </w:rPr>
        <w:t xml:space="preserve"> Section 9</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Code Section 409A.</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United States Securities Act of 1933.</w:t>
      </w:r>
    </w:p>
    <w:p>
      <w:pPr>
        <w:spacing w:after="0" w:line="14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means the termination of a Service Provider’s Service, whether initiated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Service Provider or the Company or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Award governed by</w:t>
      </w:r>
    </w:p>
    <w:p>
      <w:pPr>
        <w:spacing w:after="0" w:line="1" w:lineRule="exact"/>
        <w:rPr>
          <w:sz w:val="20"/>
          <w:szCs w:val="20"/>
          <w:color w:val="auto"/>
        </w:rPr>
      </w:pPr>
    </w:p>
    <w:p>
      <w:pPr>
        <w:ind w:left="1260" w:right="939"/>
        <w:spacing w:after="0" w:line="243" w:lineRule="auto"/>
        <w:rPr>
          <w:sz w:val="20"/>
          <w:szCs w:val="20"/>
          <w:color w:val="auto"/>
        </w:rPr>
      </w:pPr>
      <w:r>
        <w:rPr>
          <w:rFonts w:ascii="Times New Roman" w:cs="Times New Roman" w:eastAsia="Times New Roman" w:hAnsi="Times New Roman"/>
          <w:sz w:val="18"/>
          <w:szCs w:val="18"/>
          <w:color w:val="auto"/>
        </w:rPr>
        <w:t>Section 409A is to be distributed on a Separation from Service, then the definition of Separation from Service for such purposes shall comply with the definition provided in Section 409A.</w:t>
      </w:r>
    </w:p>
    <w:p>
      <w:pPr>
        <w:spacing w:after="0" w:line="11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Service” </w:t>
      </w:r>
      <w:r>
        <w:rPr>
          <w:rFonts w:ascii="Times New Roman" w:cs="Times New Roman" w:eastAsia="Times New Roman" w:hAnsi="Times New Roman"/>
          <w:sz w:val="18"/>
          <w:szCs w:val="18"/>
          <w:color w:val="auto"/>
        </w:rPr>
        <w:t>means service as a Service Provider to the Company or an Affiliate.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applicable Award Agreement, a Grantee’s change in position or duties shall not result in interrupted or terminated Service, so long as such Grantee continues to be a Service Provider to the Company or an Affiliate.</w:t>
      </w:r>
    </w:p>
    <w:p>
      <w:pPr>
        <w:spacing w:after="0" w:line="103" w:lineRule="exact"/>
        <w:rPr>
          <w:sz w:val="20"/>
          <w:szCs w:val="20"/>
          <w:color w:val="auto"/>
        </w:rPr>
      </w:pPr>
    </w:p>
    <w:p>
      <w:pPr>
        <w:ind w:left="1260" w:right="9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Service Provider” </w:t>
      </w:r>
      <w:r>
        <w:rPr>
          <w:rFonts w:ascii="Times New Roman" w:cs="Times New Roman" w:eastAsia="Times New Roman" w:hAnsi="Times New Roman"/>
          <w:sz w:val="18"/>
          <w:szCs w:val="18"/>
          <w:color w:val="auto"/>
        </w:rPr>
        <w:t>means an employee, officer, Non-Employee Director or Consultant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Affiliate.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of Common Stock.</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 Appreciation Right” or “SAR” </w:t>
      </w:r>
      <w:r>
        <w:rPr>
          <w:rFonts w:ascii="Times New Roman" w:cs="Times New Roman" w:eastAsia="Times New Roman" w:hAnsi="Times New Roman"/>
          <w:sz w:val="18"/>
          <w:szCs w:val="18"/>
          <w:color w:val="auto"/>
        </w:rPr>
        <w:t>means a right granted to a Grantee pursuant to</w:t>
      </w:r>
      <w:r>
        <w:rPr>
          <w:rFonts w:ascii="Times New Roman" w:cs="Times New Roman" w:eastAsia="Times New Roman" w:hAnsi="Times New Roman"/>
          <w:sz w:val="18"/>
          <w:szCs w:val="18"/>
          <w:b w:val="1"/>
          <w:bCs w:val="1"/>
          <w:color w:val="auto"/>
        </w:rPr>
        <w:t xml:space="preserve"> Section 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2.49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 Award” </w:t>
      </w:r>
      <w:r>
        <w:rPr>
          <w:rFonts w:ascii="Times New Roman" w:cs="Times New Roman" w:eastAsia="Times New Roman" w:hAnsi="Times New Roman"/>
          <w:sz w:val="18"/>
          <w:szCs w:val="18"/>
          <w:color w:val="auto"/>
        </w:rPr>
        <w:t>means an Award of Shares of Common Stock granted to a Grantee pursuant to</w:t>
      </w:r>
      <w:r>
        <w:rPr>
          <w:rFonts w:ascii="Times New Roman" w:cs="Times New Roman" w:eastAsia="Times New Roman" w:hAnsi="Times New Roman"/>
          <w:sz w:val="18"/>
          <w:szCs w:val="18"/>
          <w:b w:val="1"/>
          <w:bCs w:val="1"/>
          <w:color w:val="auto"/>
        </w:rPr>
        <w:t xml:space="preserve"> Section 10</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Stockholder” </w:t>
      </w:r>
      <w:r>
        <w:rPr>
          <w:rFonts w:ascii="Times New Roman" w:cs="Times New Roman" w:eastAsia="Times New Roman" w:hAnsi="Times New Roman"/>
          <w:sz w:val="18"/>
          <w:szCs w:val="18"/>
          <w:color w:val="auto"/>
        </w:rPr>
        <w:t>means a stockholder of the Company.</w:t>
      </w:r>
    </w:p>
    <w:p>
      <w:pPr>
        <w:spacing w:after="0" w:line="158" w:lineRule="exact"/>
        <w:rPr>
          <w:sz w:val="20"/>
          <w:szCs w:val="20"/>
          <w:color w:val="auto"/>
        </w:rPr>
      </w:pPr>
    </w:p>
    <w:p>
      <w:pPr>
        <w:ind w:left="1260" w:right="79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2.51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any “subsidiary corporation” of the Company within the meaning of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424(f).</w:t>
      </w:r>
    </w:p>
    <w:p>
      <w:pPr>
        <w:spacing w:after="0" w:line="86"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2.52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means any Award granted in assumption of or in substitution for an award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business acquired by the Company or an Affiliate or with which the Company or an Affiliate combines.</w:t>
      </w:r>
    </w:p>
    <w:p>
      <w:pPr>
        <w:spacing w:after="0" w:line="97" w:lineRule="exact"/>
        <w:rPr>
          <w:sz w:val="20"/>
          <w:szCs w:val="20"/>
          <w:color w:val="auto"/>
        </w:rPr>
      </w:pPr>
    </w:p>
    <w:p>
      <w:pPr>
        <w:jc w:val="both"/>
        <w:ind w:left="1260" w:right="7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Ten Percent Stockholder” </w:t>
      </w:r>
      <w:r>
        <w:rPr>
          <w:rFonts w:ascii="Times New Roman" w:cs="Times New Roman" w:eastAsia="Times New Roman" w:hAnsi="Times New Roman"/>
          <w:sz w:val="18"/>
          <w:szCs w:val="18"/>
          <w:color w:val="auto"/>
        </w:rPr>
        <w:t>means an individual who owns more than 10% of the total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all classes of outstanding stock of the Company, its parent or any of its Subsidiaries. In determining stock ownership, the attribution rules of Code Section 424(d) shall be applied.</w:t>
      </w:r>
    </w:p>
    <w:p>
      <w:pPr>
        <w:spacing w:after="0" w:line="104"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tenth anniversary of the date of initial Board adoption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unless the Plan is earlier terminated by the Board under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Voting Securities”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ADMINISTRATION OF THE PLAN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3.1 General</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conditions of the Plan that the Board deems to be necessary or appropriate to the administration of the Plan. The Committee shall administer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shall retain the right to exercise the authority of the Committee to the extent consistent with</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applicable law and the applicable requirements of any securities exchange on which the Common Stock may then be listed. All actions, determinations and decisions by the Board or the Committee under the Plan, any Award or any Award Agreement shall be in the Board’s (or the Committee’s, as applicable) sole discretion and shall be final, binding and conclusive. Without limitation, the Committee shall have full and final power and authority, subject to the other terms and conditions of the Plan, to:</w:t>
      </w:r>
    </w:p>
    <w:p>
      <w:pPr>
        <w:spacing w:after="0" w:line="110" w:lineRule="exact"/>
        <w:rPr>
          <w:sz w:val="20"/>
          <w:szCs w:val="20"/>
          <w:color w:val="auto"/>
        </w:rPr>
      </w:pPr>
    </w:p>
    <w:p>
      <w:pPr>
        <w:ind w:left="1940" w:hanging="320"/>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Grantees;</w:t>
      </w:r>
    </w:p>
    <w:p>
      <w:pPr>
        <w:spacing w:after="0" w:line="14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made to Grantees;</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subject to an Award;</w:t>
      </w:r>
    </w:p>
    <w:p>
      <w:pPr>
        <w:spacing w:after="0" w:line="157" w:lineRule="exact"/>
        <w:rPr>
          <w:rFonts w:ascii="Times New Roman" w:cs="Times New Roman" w:eastAsia="Times New Roman" w:hAnsi="Times New Roman"/>
          <w:sz w:val="18"/>
          <w:szCs w:val="18"/>
          <w:color w:val="auto"/>
        </w:rPr>
      </w:pPr>
    </w:p>
    <w:p>
      <w:pPr>
        <w:ind w:left="1260" w:right="619" w:firstLine="360"/>
        <w:spacing w:after="0" w:line="250" w:lineRule="auto"/>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terms and conditions of each Award, including the Option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Stock Options;</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w:t>
      </w:r>
    </w:p>
    <w:p>
      <w:pPr>
        <w:spacing w:after="0" w:line="144" w:lineRule="exact"/>
        <w:rPr>
          <w:rFonts w:ascii="Times New Roman" w:cs="Times New Roman" w:eastAsia="Times New Roman" w:hAnsi="Times New Roman"/>
          <w:sz w:val="18"/>
          <w:szCs w:val="18"/>
          <w:color w:val="auto"/>
        </w:rPr>
      </w:pPr>
    </w:p>
    <w:p>
      <w:pPr>
        <w:ind w:left="1260" w:right="579" w:firstLine="360"/>
        <w:spacing w:after="0" w:line="251" w:lineRule="auto"/>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the terms or conditions of any outstanding Award including the authority, in order to effectuate the purposes of the Plan, to modify Awards to foreign nationals or individuals who are employed outside the United States to recognize differences in local law, tax policy or custom; and</w:t>
      </w:r>
    </w:p>
    <w:p>
      <w:pPr>
        <w:spacing w:after="0" w:line="322" w:lineRule="exact"/>
        <w:rPr>
          <w:rFonts w:ascii="Times New Roman" w:cs="Times New Roman" w:eastAsia="Times New Roman" w:hAnsi="Times New Roman"/>
          <w:sz w:val="18"/>
          <w:szCs w:val="18"/>
          <w:color w:val="auto"/>
        </w:rPr>
      </w:pPr>
    </w:p>
    <w:p>
      <w:pPr>
        <w:ind w:left="1260" w:right="1259" w:firstLine="360"/>
        <w:spacing w:after="0" w:line="282" w:lineRule="auto"/>
        <w:tabs>
          <w:tab w:leader="none" w:pos="20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construe the Plan and any Award Agreement and establish such rules and regulations as it shall determine appropriate for the proper administration of the Plan.</w:t>
      </w:r>
    </w:p>
    <w:p>
      <w:pPr>
        <w:spacing w:after="0" w:line="67"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To the extent permitted by applicable law, the Board or the Committee may delegate its authority as identified herein to any individual or committee of individuals (who need not be directors), including the authority to make Awards to Grantees who are not subject to Section 16 of the Exchange Act. To the extent that the Board or the Committee delegates its authority to make Awards as provided by this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all references in the Plan to the Board’s or the Committee’s authority to make Awards and determinations with respect thereto shall be deemed to include the Board’s or the Committee’s delegate. Any such delegate shall serve at the pleasure of, and may be removed at any time by, the Board or the Committee.</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3.2 No Repricing</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the repricing of Options or SARs is prohibited without prior approval of the Stockholders. For this purpose, a “repricing” means any of the following (or any other action that has the same effect as any of the following): (i) changing the terms of an Option or SAR to lower its Option Price or SAR Exercise Price; (ii) any other action that is treated as a “repricing” under generally accepted accounting principles; and (iii) repurchasing for cash or canceling an Option or SAR at a time when its Option Price or SAR Exercise Price is greater than the Fair Market Value of the underlying Shares in exchange for another award, unless the cancellation and exchange occurs in connection with a change in capitalization or similar change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A cancellation and exchange under clause</w:t>
      </w:r>
    </w:p>
    <w:p>
      <w:pPr>
        <w:spacing w:after="0" w:line="4" w:lineRule="exact"/>
        <w:rPr>
          <w:sz w:val="20"/>
          <w:szCs w:val="20"/>
          <w:color w:val="auto"/>
        </w:rPr>
      </w:pPr>
    </w:p>
    <w:p>
      <w:pPr>
        <w:ind w:left="1260" w:right="679"/>
        <w:spacing w:after="0" w:line="243" w:lineRule="auto"/>
        <w:tabs>
          <w:tab w:leader="none" w:pos="15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considered a “repricing” regardless of whether it is treated as a “repricing” under generally accepted accounting principles and regardless of whether it is voluntary on the part of the Grantee.</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3.3 Award Agreements; Clawbacks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grant of any Award may be contingent upon the Grantee executing the appropriate Award</w:t>
      </w:r>
    </w:p>
    <w:p>
      <w:pPr>
        <w:spacing w:after="0" w:line="27"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Agreement. 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terminated for Cause.</w:t>
      </w:r>
    </w:p>
    <w:p>
      <w:pPr>
        <w:spacing w:after="0" w:line="12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All awards, amounts or benefits received or outstanding under the Plan shall be subject to clawback, cancellation, recoupment, rescission, payback, reduction or other similar action in accordance with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terms of any Company clawback or similar policy or any applicable law related to such actions, as may be in effect from time to time. A Grantee’s acceptance of an Award shall be deemed to constitute (i) the Grantee’s acknowledgement of and consent to the Company’s application, implementation and enforcement of any applicable Company clawback or similar policy that may apply to the Grantee, whether adopted prior to or following the Effective Date, and any provision of applicable law relating to clawback, cancellation, recoupment, rescission, payback or reduction of compensation, and (ii) the Grantee’s agreement that the Company may take such actions as may be necessary to effectuate any such policy or applicable law, without further consideration or action.</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3.4 Trading Policy and Other Restrictions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Transactions involving Awards are subject to the Company’s insider trading policy and other restrictions, terms, conditions and policies, as may be established by the Company (including the Board or a committee of the Board) from time to time or as may be required by applicable law.</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3.5 Deferral Arrangement</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Committee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Share units.</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3.6 Change in Service; Leave of Absence</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Subject to applicable law, the Company’s chief human resources officer or other person performing that function shall be authorized to determine the effect on Awards of a Grantee’s leave of absence or change in hours of employment or service. Notwithstanding the foregoing, any such determinations made with respect to individuals subject to reporting with the SEC under Section 16 of the Exchange Act shall be made by the Committee.</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3.7 No Liability</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No member of the Board or of the Committee shall be liable for any action or determination made in good faith with respect to the Plan, any Award or Award Agreement.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3.8 Book Entry</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the Company may elect to satisfy any requirement under the Plan for the delivery of stock certificates through the use of book entry.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STOCK SUBJECT TO THE PLAN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4.1 Authorized Number of Shares</w:t>
      </w:r>
    </w:p>
    <w:p>
      <w:pPr>
        <w:spacing w:after="0" w:line="144"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Subject to adjustment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the aggregate number of Shares authorized to be issued under the Plan is:</w:t>
      </w:r>
    </w:p>
    <w:p>
      <w:pPr>
        <w:spacing w:after="0" w:line="91" w:lineRule="exact"/>
        <w:rPr>
          <w:sz w:val="20"/>
          <w:szCs w:val="20"/>
          <w:color w:val="auto"/>
        </w:rPr>
      </w:pPr>
    </w:p>
    <w:p>
      <w:pPr>
        <w:ind w:left="2300" w:hanging="320"/>
        <w:spacing w:after="0"/>
        <w:tabs>
          <w:tab w:leader="none" w:pos="2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381,866 Shares; plus</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61" w:lineRule="auto"/>
        <w:tabs>
          <w:tab w:leader="none" w:pos="2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previously authorized under the Prior Plans, other than any Shares authorized under the Inducement Plan (such Prior Plans, excluding the Inducement Plan, the “</w:t>
      </w:r>
      <w:r>
        <w:rPr>
          <w:rFonts w:ascii="Times New Roman" w:cs="Times New Roman" w:eastAsia="Times New Roman" w:hAnsi="Times New Roman"/>
          <w:sz w:val="18"/>
          <w:szCs w:val="18"/>
          <w:b w:val="1"/>
          <w:bCs w:val="1"/>
          <w:color w:val="auto"/>
        </w:rPr>
        <w:t>Eligible Prior Plans</w:t>
      </w:r>
      <w:r>
        <w:rPr>
          <w:rFonts w:ascii="Times New Roman" w:cs="Times New Roman" w:eastAsia="Times New Roman" w:hAnsi="Times New Roman"/>
          <w:sz w:val="18"/>
          <w:szCs w:val="18"/>
          <w:color w:val="auto"/>
        </w:rPr>
        <w:t>”) that, on the Effective Date, have not been granted under the Eligible Prior Plans and are not, as of the Effective Date, subject to outstanding awards thereunder; plus</w:t>
      </w:r>
    </w:p>
    <w:p>
      <w:pPr>
        <w:spacing w:after="0" w:line="98"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4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subject to outstanding awards under the Eligible Prior Plans that, on or after the Effective Date, subsequently lapse, expire, terminate or are canceled prior to the issuance of Shares thereunder, which Shares shall cease to set aside or reserved for issuance pursuant to the applicable Eligible Prior Plan on the date on which they cease to be subject to such awards and shall instead be set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 xml:space="preserve">aside and reserved for issuance pursuant to Awards under the Plan; the aggregate maximum number of Shares that may become available for grant from the Eligible Prior Plans pursuant to clauses (ii) and (iii) of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is 9,656.</w:t>
      </w:r>
    </w:p>
    <w:p>
      <w:pPr>
        <w:spacing w:after="0" w:line="102"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Shares issued under the Plan may consist in whole or in part of authorized but unissued Shares, treasury Shares or Shares purchased on the open market or otherwise, all as may be determined by the Board from time to time.</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4.2 Share Counting</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4.2.1. General</w:t>
      </w:r>
    </w:p>
    <w:p>
      <w:pPr>
        <w:spacing w:after="0" w:line="162" w:lineRule="exact"/>
        <w:rPr>
          <w:sz w:val="20"/>
          <w:szCs w:val="20"/>
          <w:color w:val="auto"/>
        </w:rPr>
      </w:pPr>
    </w:p>
    <w:p>
      <w:pPr>
        <w:ind w:left="162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Each Share granted in connection with an Award shall be counted as one Share against the limit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b w:val="1"/>
          <w:bCs w:val="1"/>
          <w:color w:val="auto"/>
        </w:rPr>
        <w:t xml:space="preserve"> Section 4.2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4.2.2. Cash-Settled Awards</w:t>
      </w:r>
    </w:p>
    <w:p>
      <w:pPr>
        <w:spacing w:after="0" w:line="162" w:lineRule="exact"/>
        <w:rPr>
          <w:sz w:val="20"/>
          <w:szCs w:val="20"/>
          <w:color w:val="auto"/>
        </w:rPr>
      </w:pPr>
    </w:p>
    <w:p>
      <w:pPr>
        <w:ind w:left="1620" w:right="519" w:firstLine="360"/>
        <w:spacing w:after="0" w:line="266" w:lineRule="auto"/>
        <w:rPr>
          <w:sz w:val="20"/>
          <w:szCs w:val="20"/>
          <w:color w:val="auto"/>
        </w:rPr>
      </w:pPr>
      <w:r>
        <w:rPr>
          <w:rFonts w:ascii="Times New Roman" w:cs="Times New Roman" w:eastAsia="Times New Roman" w:hAnsi="Times New Roman"/>
          <w:sz w:val="18"/>
          <w:szCs w:val="18"/>
          <w:color w:val="auto"/>
        </w:rPr>
        <w:t>Any Award paid or settled in cash shall not be counted as issued Shares for any purpose under the Plan.</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4.2.3. Expired or Terminated Awards</w:t>
      </w:r>
    </w:p>
    <w:p>
      <w:pPr>
        <w:spacing w:after="0" w:line="148" w:lineRule="exact"/>
        <w:rPr>
          <w:sz w:val="20"/>
          <w:szCs w:val="20"/>
          <w:color w:val="auto"/>
        </w:rPr>
      </w:pPr>
    </w:p>
    <w:p>
      <w:pPr>
        <w:ind w:left="1620" w:right="619" w:firstLine="360"/>
        <w:spacing w:after="0" w:line="250" w:lineRule="auto"/>
        <w:rPr>
          <w:sz w:val="20"/>
          <w:szCs w:val="20"/>
          <w:color w:val="auto"/>
        </w:rPr>
      </w:pPr>
      <w:r>
        <w:rPr>
          <w:rFonts w:ascii="Times New Roman" w:cs="Times New Roman" w:eastAsia="Times New Roman" w:hAnsi="Times New Roman"/>
          <w:sz w:val="18"/>
          <w:szCs w:val="18"/>
          <w:color w:val="auto"/>
        </w:rPr>
        <w:t>If any Award expires, or is terminated, surrendered or forfeited, in whole or in part, the unissued Shares covered by such Award shall again be available for the grant of Awards. Any Shares under a Restricted Stock Award that are repurchased or forfeited to the Company shall similarly again be available for the grant of Awards.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4.2.4. Payment of Option Price or Tax Withholding in Shares</w:t>
      </w:r>
    </w:p>
    <w:p>
      <w:pPr>
        <w:spacing w:after="0" w:line="148" w:lineRule="exact"/>
        <w:rPr>
          <w:sz w:val="20"/>
          <w:szCs w:val="20"/>
          <w:color w:val="auto"/>
        </w:rPr>
      </w:pPr>
    </w:p>
    <w:p>
      <w:pPr>
        <w:ind w:left="162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If Shares issuable upon exercise, vesting or settlement of an Award, or Shares owned by a Grantee (which 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shall not again be available for the grant of Awards. For a stock-settled SAR, the gross number of Shares for which the SAR is exercised shall be counted against the limit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4.2.5. Substitute Awards</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Substitute Awards shall not be counted against the number of Shares reserved under the Plan.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4.3 Award Limits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4.3.1. Incentive Stock Options</w:t>
      </w:r>
    </w:p>
    <w:p>
      <w:pPr>
        <w:spacing w:after="0" w:line="158" w:lineRule="exact"/>
        <w:rPr>
          <w:sz w:val="20"/>
          <w:szCs w:val="20"/>
          <w:color w:val="auto"/>
        </w:rPr>
      </w:pPr>
    </w:p>
    <w:p>
      <w:pPr>
        <w:ind w:left="1620" w:right="599" w:firstLine="360"/>
        <w:spacing w:after="0" w:line="271" w:lineRule="auto"/>
        <w:rPr>
          <w:sz w:val="20"/>
          <w:szCs w:val="20"/>
          <w:color w:val="auto"/>
        </w:rPr>
      </w:pPr>
      <w:r>
        <w:rPr>
          <w:rFonts w:ascii="Times New Roman" w:cs="Times New Roman" w:eastAsia="Times New Roman" w:hAnsi="Times New Roman"/>
          <w:sz w:val="18"/>
          <w:szCs w:val="18"/>
          <w:color w:val="auto"/>
        </w:rPr>
        <w:t xml:space="preserve">Subject to adjustment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15,200 Shares available for issuance under the Plan shall be available for issuance as Incentive Stock Options.</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4.3.2. Individual Award Limits for Cash-Based Awards</w:t>
      </w:r>
    </w:p>
    <w:p>
      <w:pPr>
        <w:spacing w:after="0" w:line="162"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The maximum amount of cash-based Performance Awards that may be granted to any Grantee in any calendar year shall not exceed the following: (i) Annual Incentive Awards: $1.0 million; and (ii) all other cash-based Performance Awards: $1.0 million.</w:t>
      </w:r>
    </w:p>
    <w:p>
      <w:pPr>
        <w:spacing w:after="0" w:line="16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4.3.3. Limits on Awards to Non-Employee Directors</w:t>
      </w:r>
    </w:p>
    <w:p>
      <w:pPr>
        <w:spacing w:after="0" w:line="162" w:lineRule="exact"/>
        <w:rPr>
          <w:sz w:val="20"/>
          <w:szCs w:val="20"/>
          <w:color w:val="auto"/>
        </w:rPr>
      </w:pPr>
    </w:p>
    <w:p>
      <w:pPr>
        <w:ind w:left="1620" w:right="439" w:firstLine="360"/>
        <w:spacing w:after="0" w:line="250" w:lineRule="auto"/>
        <w:rPr>
          <w:sz w:val="20"/>
          <w:szCs w:val="20"/>
          <w:color w:val="auto"/>
        </w:rPr>
      </w:pPr>
      <w:r>
        <w:rPr>
          <w:rFonts w:ascii="Times New Roman" w:cs="Times New Roman" w:eastAsia="Times New Roman" w:hAnsi="Times New Roman"/>
          <w:sz w:val="18"/>
          <w:szCs w:val="18"/>
          <w:color w:val="auto"/>
        </w:rPr>
        <w:t>The maximum value of Awards granted during any calendar year to any Non- Employee Director, taken together with any cash fees paid to such Non-Employee Director during the calendar year and the value of awards granted to the Non-Employee Director under any other equity compensation plan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 the Company or an Affiliate during the calendar year, shall not exceed the following in total value:</w:t>
      </w:r>
    </w:p>
    <w:p>
      <w:pPr>
        <w:spacing w:after="0" w:line="27" w:lineRule="exact"/>
        <w:rPr>
          <w:sz w:val="20"/>
          <w:szCs w:val="20"/>
          <w:color w:val="auto"/>
        </w:rPr>
      </w:pPr>
    </w:p>
    <w:p>
      <w:pPr>
        <w:ind w:left="1620" w:right="439"/>
        <w:spacing w:after="0"/>
        <w:tabs>
          <w:tab w:leader="none" w:pos="184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 for the Chair of the Board and (ii) $300,000 for each Non-Employee Director other than the Chair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awards granted to Non-Employee Directors upon their initial election to the Board or the board of directors of an Affiliate shall not be counted towards the limit under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xml:space="preserve">. Any Awards or other equity compensation plan awards that are scheduled to vest over a period of more than one calendar year shall be applied pro rata for purposes of the limit under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xml:space="preserve"> based on the number of years over which such awards are scheduled to vest. For purposes of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the value of any Awards shall be calculated based on the average of the closing trading prices of the Common Stock on the principal stock exchange for such Common Stock during the 30 consecutive trading days immediately preceding the date the Award is granted.</w:t>
      </w:r>
    </w:p>
    <w:p>
      <w:pPr>
        <w:spacing w:after="0" w:line="193"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DURATION AND AMENDMENTS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5.1 Term</w:t>
      </w:r>
    </w:p>
    <w:p>
      <w:pPr>
        <w:spacing w:after="0" w:line="14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The Plan shall be effective as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has been approved by the Stockholders. The Plan shall terminate automatically on the Termination Date and may be terminated on any earlier date as provided in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5.2 Amendment and Termination of the Plan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Board may, at any time and from time to time, amend, suspend or terminate the Plan as to any Awards that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and conditions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 provided that the Awards may be amended without the consent of the Grantee to comply with applicable law or to clarify the manner of exemption from, or to bring an Award into compliance with, Section 409A.</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AWARD ELIGIBILITY AND LIMITATIONS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6.1 Service Providers</w:t>
      </w:r>
    </w:p>
    <w:p>
      <w:pPr>
        <w:spacing w:after="0" w:line="158" w:lineRule="exact"/>
        <w:rPr>
          <w:sz w:val="20"/>
          <w:szCs w:val="20"/>
          <w:color w:val="auto"/>
        </w:rPr>
      </w:pPr>
    </w:p>
    <w:p>
      <w:pPr>
        <w:ind w:left="1260" w:right="1079" w:firstLine="360"/>
        <w:spacing w:after="0" w:line="271" w:lineRule="auto"/>
        <w:rPr>
          <w:sz w:val="20"/>
          <w:szCs w:val="20"/>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Awards may be made to any Service Provider as the Committee may determine and designate from time to time.</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6.2 Successive Awards</w:t>
      </w:r>
    </w:p>
    <w:p>
      <w:pPr>
        <w:spacing w:after="0" w:line="16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An eligible person may receive more than one Award, subject to such restrictions as are provided herein.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6.3 Stand-Alone, Additional, Tandem, and Substitute Awards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Awards may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or substitute or exchange Awards may be granted at any time. If an Award is granted in substitution or exchange for another award, the Committee shall have the right to require the surrender of such other award in consideration for the grant of the new Award. Subject to the requirements of applicable law, the Committee may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Shares subject to the Award is equivalent in value to the cash compensation (for example, RSUs or Restricted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AWARD AGREEMENT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grant of any Award may be contingent upon the Grantee executing an appropriate Award Agreement, in such form or forms as the Committee shall from time to time determine. Without limiting the foregoing, an Award Agreement may be provided in the form of a notice that provides that acceptance of the Award constitutes acceptance of all terms and conditions of the Plan and the notice. Award Agreements granted from time to time or at the same time need not contain similar provisions but shall be consistent with the terms and conditions of the Plan. The Company has no obligation for uniformity of treatment of Grantees under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TERMS AND CONDITIONS OF OPTIONS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8.1 Option Price</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Option Price of each Option shall be fixed by the Committee and stated in the related Award Agreement. The Option Price of each Option (except those that constitute Substitute Awards) shall be at least the Fair Market Value on the Grant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a Grantee is a Ten Percent Stockholder as of the Grant Date, the Option Price of an Option granted to such Grantee that is intended to be an Incentive Stock Option shall be not less than 110% of the Fair Market Value on the Grant Date. In no case shall the Option Price of any Option be less than the par value of a Share.</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8.2 Vesting</w:t>
      </w:r>
    </w:p>
    <w:p>
      <w:pPr>
        <w:spacing w:after="0" w:line="144"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8.3</w:t>
      </w:r>
      <w:r>
        <w:rPr>
          <w:rFonts w:ascii="Times New Roman" w:cs="Times New Roman" w:eastAsia="Times New Roman" w:hAnsi="Times New Roman"/>
          <w:sz w:val="18"/>
          <w:szCs w:val="18"/>
          <w:color w:val="auto"/>
        </w:rPr>
        <w:t>, each Option shall become exercisable at such times and under such conditions (including performance requirements) as stated in the Award Agreement.</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8.3 Term</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Each Option shall terminate, and all rights to purchase Shares thereunder shall cease 10 years from the Grant Date, or under such circumstances and on such date prior thereto as is set forth in the Plan or as may be fixed by the Committee and stated in the related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8.4 Limitations on Exercise of Option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Plan, in no event may any Option be exercised, in whole or in part, (i) prior to the date the Plan is approved by the Stockholders as provided herein or (ii) after the occurrence of an event that results in termination of the Option.</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8.5 Method of Exercise</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 Option that is exercisable may be exercised by the Grantee’s delivery of a notice of exercise to the Company, setting forth the number of Shares with respect to which the Option is to be exercised, accompanied by full payment for the Shares. To be effective, notice of exercise must be made in accordance with procedures established by the Company from time to time.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8.6 Rights of Holders of Options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provided in the applicable Award Agreement, an individual holding or exercising an Option shall have none of the rights of a Stockholder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or the related Award Agreement, no adjustment shall be made for dividends, distributions or other rights for which the record date is prior to the date of such issuance.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8.7 Delivery of Stock Certificates</w:t>
      </w:r>
    </w:p>
    <w:p>
      <w:pPr>
        <w:spacing w:after="0" w:line="158" w:lineRule="exact"/>
        <w:rPr>
          <w:sz w:val="20"/>
          <w:szCs w:val="20"/>
          <w:color w:val="auto"/>
        </w:rPr>
      </w:pPr>
    </w:p>
    <w:p>
      <w:pPr>
        <w:ind w:left="1260" w:right="519" w:firstLine="360"/>
        <w:spacing w:after="0" w:line="260"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promptly after the exercise of an Option by a Grantee and the payment in full of the Option Price and applicable tax withholding, such Grantee shall be entitled to the issuance of a stock certificate or certificates evidencing his or her ownership of the Shares subject to the Option.</w:t>
      </w: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8.8 Limitations on Incentive Stock Options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 Option shall constitute an Incentive Stock Option only (i) if the Grantee is an employee of the Company or any Subsidiary as of the Grant Date, (ii) to the extent specifically provided in the related Award Agreement and (iii) to the extent that the aggregate Fair Market Value (determined at the time the Option is granted)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TERMS AND CONDITIONS OF STOCK APPRECIATION RIGHTS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9.1 Right to Payment</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 SAR shall confer on the Grantee a right to receive, upon exercise thereof, the excess of (i) the Fair Market Value on the date of exercise over (ii) the SAR Exercise Price, as determined by the Committee. The Award Agreement for a SAR (except those that constitute Substitute Awards) shall specify the SAR Exercise Price, which shall be fixed on the Grant Date as not less than the Fair Market Value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 that the SAR’s grant price may not be less than the Fair Market Value on the Grant Date of the SAR to the extent required by Section 409A.</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9.2 Other Terms</w:t>
      </w:r>
    </w:p>
    <w:p>
      <w:pPr>
        <w:spacing w:after="0" w:line="14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Committee shall determine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9.3 Term of SARs</w:t>
      </w:r>
    </w:p>
    <w:p>
      <w:pPr>
        <w:spacing w:after="0" w:line="146"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term of a SAR shall be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 shall not exceed 10 years.</w:t>
      </w:r>
    </w:p>
    <w:p>
      <w:pPr>
        <w:spacing w:after="0" w:line="1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9.4 Payment of SAR Amount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Upon exercise of a SAR, a Grantee shall be entitled to receive payment from the Company (in cash or Shares, as determined by the Committee) in an amount determined by multiplying (i) the difference between the Fair Market Value on the date of exercise over the SAR Exercise Price; by (ii) the number of Shares with respect to which the SAR is exercised.</w:t>
      </w:r>
    </w:p>
    <w:p>
      <w:pPr>
        <w:spacing w:after="0" w:line="173" w:lineRule="exact"/>
        <w:rPr>
          <w:sz w:val="20"/>
          <w:szCs w:val="20"/>
          <w:color w:val="auto"/>
        </w:rPr>
      </w:pPr>
    </w:p>
    <w:p>
      <w:pPr>
        <w:ind w:left="1620" w:right="879" w:hanging="360"/>
        <w:spacing w:after="0" w:line="286" w:lineRule="auto"/>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STOCK AWARDS, RESTRICTED STOCK AND RESTRICTED STOCK UNITS</w:t>
      </w:r>
    </w:p>
    <w:p>
      <w:pPr>
        <w:spacing w:after="0" w:line="154"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 Restrictions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Committee may grant Stock Awards, Restricted Stock and Restricted Stock Units on such terms and conditions as the Committee shall determine in its sole discretion. At the time of grant, the Committee may establish a period of time (a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and any additional restrictions including the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satisfaction of corporate or individual performance objectives applicable to an Award of Restricted Stock or RSUs. Each Award of Restricted Stock or RSUs may be subject to a different Restricted Period and additional restrictions. Neither Restricted Stock nor RSUs may be sold, transferred, assigned, pledged or otherwise encumbered or disposed of during the Restricted Period or prior to the satisfaction of any other applicable restrictions.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10.2 Restricted Stock Certificates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 shall issue Shares, in the name of each Grantee to whom a Stock Award or Restricted Stock has been granted, stock certificates or other evidence of ownership representing the total number of Shares under the Award granted to the Grantee, as soon as reasonably practicable after the Grant Date. The Committee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10.3 Rights of Holders of Restricted Stock</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Unless the otherwise provided in the applicable Award Agreement, holders of Stock Awards and Restricted Stock shall have rights as Stockholders, including voting and dividend rights.</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10.4 Rights of Holders of RSUs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10.4.1. Settlement of RSUs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RSUs may be settled in cash, in Shares or in a combination thereof, as determined by the Committee and set forth in the Award Agreement. The Award Agreement shall also set forth whether the RSUs shall be settled (i) within the time period specified for “short term deferrals” under Section 409A or (ii) otherwise within the requirements of Section 409A, in which case the Award Agreement shall specify upon which events such RSUs shall be settled.</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10.4.2. Voting and Dividend Rights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Award Agreement, holders of RSUs shall not have rights as Stockholders, including voting or dividend or dividend equivalents rights.</w:t>
      </w: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10.5 Purchase of Restricted Stock</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Grantee shall be required, to the extent required by applicable law, to purchase Shares under a Stock Award or an Award of Restricted Stock from the Company at a Purchase Price equal to the greater of</w:t>
      </w:r>
    </w:p>
    <w:p>
      <w:pPr>
        <w:jc w:val="both"/>
        <w:ind w:left="1260" w:right="459"/>
        <w:spacing w:after="0" w:line="242" w:lineRule="auto"/>
        <w:tabs>
          <w:tab w:leader="none" w:pos="1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par value of the Shares subject to such Award or (ii) the Purchase Price, if any, specified in the related Award Agreement. If specified in the Award Agreement, the Purchase Price may be deemed paid by Services already rendered. The Purchase Price shall be payable in a form described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or, if so determined by the Committee, in consideration for past Services rendered.</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10.6 Delivery of Shares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Upon the expiration or termination of any Restricted Period and the satisfaction of any other conditions prescribed by the Committee, the restrictions applicable to Shares of Restricted Stock or RSUs settled in Shares shall lapse, and, unless otherwise provided in the applicable Award Agreement, a stock certificate for such Shares shall be delivered, free of all such restrictions, to the Grantee or the Grantee’s beneficiary or estate, as the case may be.</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FORM OF PAYMENT FOR OPTIONS, STOCK AWARDS AND RESTRICTED STOCK</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11.1 General Rule</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Payment of the Option Price for the Shares purchased pursuant to the exercise of an Option or the Purchase Price for a Stock Award or Restricted Stock shall be made in cash or in cash equivalents acceptable to the Company, except as provided in this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11.2 Surrender of Shares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To the extent the Award Agreement so provides, payment of the Option Price for Shares purchased pursuant to the exercise of an Option or the Purchase Price for a Stock Award or Restricted Stock may be made all or in part through the tender to the Company of Shares, which Shares shall be valued, for purposes of determining the extent to which the Option Price or the Purchase Price for a Stock Award or Restricted Stock has been paid, at their Fair Market Value on the date of exercise or surrender. Notwithstanding the foregoing, in the case of an Incentive Stock Option, the right to make payment in the form of already-owned Shares may be authorized only at the time of grant.</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11.3 Cashless Exercise</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and to deliver all or part of the sales proceeds to the Company in payment of the Option Price and any withholding taxes described in </w:t>
      </w:r>
      <w:r>
        <w:rPr>
          <w:rFonts w:ascii="Times New Roman" w:cs="Times New Roman" w:eastAsia="Times New Roman" w:hAnsi="Times New Roman"/>
          <w:sz w:val="18"/>
          <w:szCs w:val="18"/>
          <w:b w:val="1"/>
          <w:bCs w:val="1"/>
          <w:color w:val="auto"/>
        </w:rPr>
        <w:t>Section 17.3</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11.4 Other Forms of Payment</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To the extent the Award Agreement so provides, payment of the Option Price or the Purchase Price for Restricted Stock may be made in any other form that is consistent with applicable laws, regulations and rules, including the Company’s withholding of Shares otherwise due to the exercising Grantee.</w:t>
      </w:r>
    </w:p>
    <w:p>
      <w:pPr>
        <w:spacing w:after="0" w:line="165" w:lineRule="exact"/>
        <w:rPr>
          <w:sz w:val="20"/>
          <w:szCs w:val="20"/>
          <w:color w:val="auto"/>
        </w:rPr>
      </w:pPr>
    </w:p>
    <w:p>
      <w:pPr>
        <w:ind w:left="1620" w:right="899" w:hanging="360"/>
        <w:spacing w:after="0" w:line="286" w:lineRule="auto"/>
        <w:tabs>
          <w:tab w:leader="none" w:pos="16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PERFORMANCE SHARE UNITS AND OTHER PERFORMANCE AWARDS</w:t>
      </w:r>
    </w:p>
    <w:p>
      <w:pPr>
        <w:spacing w:after="0" w:line="154"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12.1 Performance Conditions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right of a Grantee to exercise or receive a grant or settlement of any Award, and the timing thereof, may be subject to such performance conditions during a prescribed performance period as may be specified by the Committee. The Committee may use such business criteria and other measures of performance as it may deem appropriate in establishing any performance conditions.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12.2 Performance Goals Generally</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performance goals for Performance Share Units and other Performance Awards shall consist of one or more business criteria and a targeted level or levels of performance with respect to each of such criteria, as specified by the Committee consistent with this </w:t>
      </w:r>
      <w:r>
        <w:rPr>
          <w:rFonts w:ascii="Times New Roman" w:cs="Times New Roman" w:eastAsia="Times New Roman" w:hAnsi="Times New Roman"/>
          <w:sz w:val="18"/>
          <w:szCs w:val="18"/>
          <w:b w:val="1"/>
          <w:bCs w:val="1"/>
          <w:color w:val="auto"/>
        </w:rPr>
        <w:t>Section 12.2</w:t>
      </w:r>
      <w:r>
        <w:rPr>
          <w:rFonts w:ascii="Times New Roman" w:cs="Times New Roman" w:eastAsia="Times New Roman" w:hAnsi="Times New Roman"/>
          <w:sz w:val="18"/>
          <w:szCs w:val="18"/>
          <w:color w:val="auto"/>
        </w:rPr>
        <w:t xml:space="preserve">. The Committee may determine that Performance Awards shall be granted, exercised and/or settled upon achievement of any one performance goal or that two or more of the performance goals must be achieved as a condition to grant, exercise and/or settlement of the Performance Share Awards and other Performance Awards. Performance goals may be established on a Company-wide basis, or with respect to one or more business units, divisions, Affiliates or business segments, as applicable. Performance goals may be absolute or relative (to the performance of one or more comparable companies or indices). The Committee may determine at the time that goals under this </w:t>
      </w: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are established the extent to which measurement of performance goals may exclude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for restructuring, discontinued operations, extraordinary items, debt redemption or retirement, asset write downs, litigation or claim judgments or settlements, acquisitions or divestitures, foreign exchange gains and losses and other extraordinary, unusual, infrequently occurring or non-recurring items, and the cumulative effects of tax or accounting changes (each as defined by generally accepted accounting principles and as identified in the Company’s financial statements or other SEC filings). Performance goals may differ for Performance Awards granted to any one Grantee or to different Grantees.</w:t>
      </w:r>
    </w:p>
    <w:p>
      <w:pPr>
        <w:spacing w:after="0" w:line="1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12.3 Business Criteria</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One or more of the following business criteria for the Company, on a consolidated basis, and/or specified Affiliates or business units of the Company (except with respect to the total stockholder return and earnings per share criteria), may be used by the Committee in establishing performance goals for</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8"/>
          <w:szCs w:val="18"/>
          <w:color w:val="auto"/>
        </w:rPr>
        <w:t>Performance Awards: (i) cash flow; (ii) earnings per share, as adjusted for any stock split, stock dividend or other recapitalization; (iii) earnings measures (including EBIT and EBITDA)); (iv) return on equity;</w:t>
      </w:r>
    </w:p>
    <w:p>
      <w:pPr>
        <w:spacing w:after="0" w:line="2" w:lineRule="exact"/>
        <w:rPr>
          <w:sz w:val="20"/>
          <w:szCs w:val="20"/>
          <w:color w:val="auto"/>
        </w:rPr>
      </w:pPr>
    </w:p>
    <w:p>
      <w:pPr>
        <w:ind w:left="1260" w:right="599"/>
        <w:spacing w:after="0" w:line="262" w:lineRule="auto"/>
        <w:tabs>
          <w:tab w:leader="none" w:pos="15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(vi) share price performance, as adjusted for any stock split, stock dividend or other recapitalization; (vii) return on capital; (viii) revenue; (ix) income; (x) profit margin; (xi) return on operating revenue; (xii) brand recognition or acceptance; (xiii) customer metrics (including customer satisfaction, customer retention, customer profitability or customer contract terms); (xiv) productivity;</w:t>
      </w:r>
    </w:p>
    <w:p>
      <w:pPr>
        <w:ind w:left="1620" w:hanging="36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targets; (xvi) market share; (xvii) cost control measures; (xviii) balance sheet metrics;</w:t>
      </w:r>
    </w:p>
    <w:p>
      <w:pPr>
        <w:spacing w:after="0" w:line="9" w:lineRule="exact"/>
        <w:rPr>
          <w:rFonts w:ascii="Times New Roman" w:cs="Times New Roman" w:eastAsia="Times New Roman" w:hAnsi="Times New Roman"/>
          <w:sz w:val="18"/>
          <w:szCs w:val="18"/>
          <w:color w:val="auto"/>
        </w:rPr>
      </w:pPr>
    </w:p>
    <w:p>
      <w:pPr>
        <w:ind w:left="1260" w:right="819"/>
        <w:spacing w:after="0" w:line="266" w:lineRule="auto"/>
        <w:tabs>
          <w:tab w:leader="none" w:pos="16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 (xx) implementation, completion or attainment of measurable objectives with respect to recruitment or retention of personnel or employee satisfaction; (xxi) return on assets;</w:t>
      </w:r>
    </w:p>
    <w:p>
      <w:pPr>
        <w:ind w:left="1260" w:right="599"/>
        <w:spacing w:after="0" w:line="259" w:lineRule="auto"/>
        <w:tabs>
          <w:tab w:leader="none" w:pos="17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net sales; (xxiii) the ratio of net sales to net working capital; (xxiv) stockholder value added; (xxv) improvement in management of working capital items (inventory, accounts receivable or accounts payable); (xxvi) sales from newly-introduced products; (xxvii) successful completion of, or achievement of milestones or objectives related to, financing or capital raising transactions, strategic acquisitions or divestitures, joint ventures, partnerships, collaborations or other transactions; (xxviii) product quality, safety, productivity, yield or reliability (on time and complete orders); (xxix) funds from operations; (xxx) regulatory body approval for commercialization of a product; (xxxi) debt levels or reduction or debt ratios; (xxxii) economic value; (xxxiii) operating efficiency; (xxxiv) research and development achievements; (xxxvi) any other metric that is capable of measurement by the Committee; or</w:t>
      </w:r>
    </w:p>
    <w:p>
      <w:pPr>
        <w:spacing w:after="0" w:line="1" w:lineRule="exact"/>
        <w:rPr>
          <w:rFonts w:ascii="Times New Roman" w:cs="Times New Roman" w:eastAsia="Times New Roman" w:hAnsi="Times New Roman"/>
          <w:sz w:val="18"/>
          <w:szCs w:val="18"/>
          <w:color w:val="auto"/>
        </w:rPr>
      </w:pPr>
    </w:p>
    <w:p>
      <w:pPr>
        <w:ind w:left="1260" w:right="459"/>
        <w:spacing w:after="0" w:line="271" w:lineRule="auto"/>
        <w:tabs>
          <w:tab w:leader="none" w:pos="18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combination of the forgoing business criteria;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business criteria shall include any derivations of business criteria listed above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income shall include pre-tax income, net income and operating income).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12.4 Settlement of Performance Awards; Other Terms</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Settlement of Performance Awards may be in cash, Shares, other Awards or other property, as determined by the Committee. The Committee may reduce the amount of a settlement otherwise to be made in connection with Performance Awards.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12.5 Written Determinations</w:t>
      </w:r>
    </w:p>
    <w:p>
      <w:pPr>
        <w:spacing w:after="0" w:line="148" w:lineRule="exact"/>
        <w:rPr>
          <w:sz w:val="20"/>
          <w:szCs w:val="20"/>
          <w:color w:val="auto"/>
        </w:rPr>
      </w:pPr>
    </w:p>
    <w:p>
      <w:pPr>
        <w:ind w:left="1260" w:right="459" w:firstLine="360"/>
        <w:spacing w:after="0" w:line="269" w:lineRule="auto"/>
        <w:rPr>
          <w:sz w:val="20"/>
          <w:szCs w:val="20"/>
          <w:color w:val="auto"/>
        </w:rPr>
      </w:pPr>
      <w:r>
        <w:rPr>
          <w:rFonts w:ascii="Times New Roman" w:cs="Times New Roman" w:eastAsia="Times New Roman" w:hAnsi="Times New Roman"/>
          <w:sz w:val="18"/>
          <w:szCs w:val="18"/>
          <w:color w:val="auto"/>
        </w:rPr>
        <w:t>Following the completion of a performance period applicable to a Performance Award, the Committee shall determine whether, and to what extent, the performance goals for the performance period have been achieved and, if so, calculate the amount of the Performance Awards earned for the performance period. All determinations by the Committee as to the establishment of performance goals, the amount of any Performance Award pool or individual Performance Awards and as to the achievement of performance goals relating to Performance Awards, shall be made in writing.</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OTHER SHARE-BASED AWARDS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13.1 Grant of Other Share-based Awards</w:t>
      </w:r>
    </w:p>
    <w:p>
      <w:pPr>
        <w:spacing w:after="0" w:line="16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Other Share-based Awards may be granted either alone or in addition to or in conjunction with other Awards. Other Share-based Awards may be granted in lieu of other cash or other compensation to which a Service Provider is entitled from the Company or may be used in the settlement of amounts payable in Shares under any other compensation plan or arrangement of the Company. Subject to the provisions of the Plan, the Committee shall have the authority to determine the persons to whom and the time or times at which such Awards will be made, the number of Shares to be granted pursuant to such Awards, and all other terms and conditions of such Awards. Unless the Committee determines otherwise, any such Award shall be confirmed by an Award Agreement, which shall contain such provisions as the Committee determines to be necessary or appropriate to carry out the intent of the Plan with respect to such Award.</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13.2 Terms of Other Share-based Awards</w:t>
      </w:r>
    </w:p>
    <w:p>
      <w:pPr>
        <w:spacing w:after="0" w:line="158" w:lineRule="exact"/>
        <w:rPr>
          <w:sz w:val="20"/>
          <w:szCs w:val="20"/>
          <w:color w:val="auto"/>
        </w:rPr>
      </w:pPr>
    </w:p>
    <w:p>
      <w:pPr>
        <w:ind w:left="1260" w:right="639" w:firstLine="360"/>
        <w:spacing w:after="0" w:line="276" w:lineRule="auto"/>
        <w:rPr>
          <w:sz w:val="20"/>
          <w:szCs w:val="20"/>
          <w:color w:val="auto"/>
        </w:rPr>
      </w:pPr>
      <w:r>
        <w:rPr>
          <w:rFonts w:ascii="Times New Roman" w:cs="Times New Roman" w:eastAsia="Times New Roman" w:hAnsi="Times New Roman"/>
          <w:sz w:val="18"/>
          <w:szCs w:val="18"/>
          <w:color w:val="auto"/>
        </w:rPr>
        <w:t xml:space="preserve">Any Common Stock subject to Awards made under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may not be sold, assigned, transferred, pledged or otherwise encumbered prior to the date on which the Shares are issued, or, if later, the date on which any applicable restriction, performance or deferral period lapses.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REQUIREMENTS OF LAW</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14.1 General</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Company shall not be required to sell or issue any Shares under any Award if the sale or issuance of such Shares would constitute a violation by the Grantee, any other person or the Company of any provision of any law or regulation of any governmental authority, including any federal or state securities laws or regulations. If at any time the Committee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under an Award, including pursuant to an Option exercise,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Company shall not be required to sell or issue such Shares unless the Committee has received evidence satisfactory to it that the Grantee or any other individual exercising an Option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3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14.2 Rule 16b-3</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During any time when the Company has a class of equity security registered under Section 12 of the Exchange Act, it is the intent of the Company that Awards and the exercise of Options granted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Committee, and shall not affect the validity of the Plan. In the event that Rule 16b-3 is revised or replaced, the Committee may modify the Plan in any respect necessary to satisfy the requirements of, or to take advantage of any features of, the revised exemption or its replacement.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EFFECT OF CHANGES IN CAPITALIZATION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15.1 Adjustments for Changes in Capital Structure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Subject to any required action by the Stockholders, in the event of any change in the Shares effected without receipt of consideration by the Company, whether through merger, consolidation, reorganization, reincorporation, recapitalization, reclassification, stock dividend, stock split, reverse stock split, split- 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of Shares, appropriate and proportionate adjustments shall be made in the number and class of shares subject to the Plan and to any outstanding Awards, and in the Option Price, SAR Exercise Price or Purchase Price per Share of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 Change in Control) shares of another corporation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Committee may unilaterally amend the outstanding Awards to provide that such Awards 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Shares. In the event of any such amendment, the number of Shares subject to, and the Option Price,</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 xml:space="preserve">SAR Exercise Price or Purchase Price per Share of, the outstanding Awards shall be adjusted in a fair and equitable manner as determined by the Committee. Any fractional share resulting from an adjustment pursuant to this </w:t>
      </w:r>
      <w:r>
        <w:rPr>
          <w:rFonts w:ascii="Times New Roman" w:cs="Times New Roman" w:eastAsia="Times New Roman" w:hAnsi="Times New Roman"/>
          <w:sz w:val="18"/>
          <w:szCs w:val="18"/>
          <w:b w:val="1"/>
          <w:bCs w:val="1"/>
          <w:color w:val="auto"/>
        </w:rPr>
        <w:t>Section 15.1</w:t>
      </w:r>
      <w:r>
        <w:rPr>
          <w:rFonts w:ascii="Times New Roman" w:cs="Times New Roman" w:eastAsia="Times New Roman" w:hAnsi="Times New Roman"/>
          <w:sz w:val="18"/>
          <w:szCs w:val="18"/>
          <w:color w:val="auto"/>
        </w:rPr>
        <w:t xml:space="preserve"> shall be rounded down to the nearest whole number and the Option Price, SAR Exercise Price or Purchase Price per share shall be rounded up to the nearest whole cent. In no event may the exercise or purchase price of any Award be decreased to an amount less than the par value, if any, of the stock subject to the Award. The Committee may also make such adjustments in the terms of any Award to reflect, or related to, such changes in the capital structure of the Company or distributions as it deems appropriate. Adjustments determined by the Committee pursuant to this </w:t>
      </w:r>
      <w:r>
        <w:rPr>
          <w:rFonts w:ascii="Times New Roman" w:cs="Times New Roman" w:eastAsia="Times New Roman" w:hAnsi="Times New Roman"/>
          <w:sz w:val="18"/>
          <w:szCs w:val="18"/>
          <w:b w:val="1"/>
          <w:bCs w:val="1"/>
          <w:color w:val="auto"/>
        </w:rPr>
        <w:t>Section 15.1</w:t>
      </w:r>
      <w:r>
        <w:rPr>
          <w:rFonts w:ascii="Times New Roman" w:cs="Times New Roman" w:eastAsia="Times New Roman" w:hAnsi="Times New Roman"/>
          <w:sz w:val="18"/>
          <w:szCs w:val="18"/>
          <w:color w:val="auto"/>
        </w:rPr>
        <w:t xml:space="preserve"> shall be made in accordance with Section 409A to the extent applicable.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15.2 Change in Control</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15.2.1. Consequences of a Change in Control</w:t>
      </w:r>
    </w:p>
    <w:p>
      <w:pPr>
        <w:spacing w:after="0" w:line="162" w:lineRule="exact"/>
        <w:rPr>
          <w:sz w:val="20"/>
          <w:szCs w:val="20"/>
          <w:color w:val="auto"/>
        </w:rPr>
      </w:pPr>
    </w:p>
    <w:p>
      <w:pPr>
        <w:ind w:left="1620" w:right="79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requirements and limitations of Section 409A if applicable, the Committee may provide for any one or more of the following in connection with a Change in Control:</w:t>
      </w:r>
    </w:p>
    <w:p>
      <w:pPr>
        <w:spacing w:after="0" w:line="91" w:lineRule="exact"/>
        <w:rPr>
          <w:sz w:val="20"/>
          <w:szCs w:val="20"/>
          <w:color w:val="auto"/>
        </w:rPr>
      </w:pPr>
    </w:p>
    <w:p>
      <w:pPr>
        <w:ind w:left="1980" w:right="459" w:firstLine="360"/>
        <w:spacing w:after="0" w:line="245" w:lineRule="auto"/>
        <w:tabs>
          <w:tab w:leader="none" w:pos="26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Vesting; Cancellation of Unvested Awards</w:t>
      </w:r>
      <w:r>
        <w:rPr>
          <w:rFonts w:ascii="Times New Roman" w:cs="Times New Roman" w:eastAsia="Times New Roman" w:hAnsi="Times New Roman"/>
          <w:sz w:val="18"/>
          <w:szCs w:val="18"/>
          <w:color w:val="auto"/>
        </w:rPr>
        <w:t>. The Committee may provide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including termination of the Grantee’s Service prior to, upon, or following such Change in Control, to such extent as the Committee shall determine. Unless otherwise provided in an Award Agreement, any Awards that are unvested or not exercised prior to the effective time of a Change in Control may be terminated for no consideration.</w:t>
      </w:r>
    </w:p>
    <w:p>
      <w:pPr>
        <w:spacing w:after="0" w:line="321" w:lineRule="exact"/>
        <w:rPr>
          <w:rFonts w:ascii="Times New Roman" w:cs="Times New Roman" w:eastAsia="Times New Roman" w:hAnsi="Times New Roman"/>
          <w:sz w:val="18"/>
          <w:szCs w:val="18"/>
          <w:color w:val="auto"/>
        </w:rPr>
      </w:pPr>
    </w:p>
    <w:p>
      <w:pPr>
        <w:ind w:left="1980" w:right="419" w:firstLine="360"/>
        <w:spacing w:after="0" w:line="252" w:lineRule="auto"/>
        <w:tabs>
          <w:tab w:leader="none" w:pos="2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Assumption, Continuation or Substitution</w:t>
      </w:r>
      <w:r>
        <w:rPr>
          <w:rFonts w:ascii="Times New Roman" w:cs="Times New Roman" w:eastAsia="Times New Roman" w:hAnsi="Times New Roman"/>
          <w:sz w:val="18"/>
          <w:szCs w:val="18"/>
          <w:color w:val="auto"/>
        </w:rPr>
        <w:t>. In the event of a Change in Control,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continuing, successor or purchasing corporation or other business entity or parent thereof, as the case may be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xml:space="preserve">”),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Times New Roman" w:cs="Times New Roman" w:eastAsia="Times New Roman" w:hAnsi="Times New Roman"/>
          <w:sz w:val="18"/>
          <w:szCs w:val="18"/>
          <w:b w:val="1"/>
          <w:bCs w:val="1"/>
          <w:color w:val="auto"/>
        </w:rPr>
        <w:t>Section 15.2</w:t>
      </w:r>
      <w:r>
        <w:rPr>
          <w:rFonts w:ascii="Times New Roman" w:cs="Times New Roman" w:eastAsia="Times New Roman" w:hAnsi="Times New Roman"/>
          <w:sz w:val="18"/>
          <w:szCs w:val="18"/>
          <w:color w:val="auto"/>
        </w:rPr>
        <w:t xml:space="preserve">, if so determined by the Committee,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consideration is not solely common stock of the Acquiror, the Committee may, with the consent of the Acquiror, provide for the consideration to be received upon the exercise or settlement of the Award, for each Share subject to the Award, to consist solely of common stock of the Acquiror equal in Fair Market Value to the per share consideration received by Stockholders pursuant to the Change in Control.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333" w:lineRule="exact"/>
        <w:rPr>
          <w:rFonts w:ascii="Times New Roman" w:cs="Times New Roman" w:eastAsia="Times New Roman" w:hAnsi="Times New Roman"/>
          <w:sz w:val="18"/>
          <w:szCs w:val="18"/>
          <w:color w:val="auto"/>
        </w:rPr>
      </w:pPr>
    </w:p>
    <w:p>
      <w:pPr>
        <w:ind w:left="1980" w:right="499" w:firstLine="360"/>
        <w:spacing w:after="0" w:line="259" w:lineRule="auto"/>
        <w:tabs>
          <w:tab w:leader="none" w:pos="27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Cash-Out of Awards</w:t>
      </w:r>
      <w:r>
        <w:rPr>
          <w:rFonts w:ascii="Times New Roman" w:cs="Times New Roman" w:eastAsia="Times New Roman" w:hAnsi="Times New Roman"/>
          <w:sz w:val="18"/>
          <w:szCs w:val="18"/>
          <w:color w:val="auto"/>
        </w:rPr>
        <w:t>. The Committee may, in its discretion and without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Grantee, determine that, upon the occurrence of a Change in Control, each or any Award or a portion thereof outstanding immediately prior to the Change in Control and not previously exercised or settled shall be canceled in exchange for a payment with respect to each vested Share (and each unvested Share, if so determined by the Committee) subject to such canceled Award in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52" w:lineRule="auto"/>
        <w:tabs>
          <w:tab w:leader="none" w:pos="22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In the event such determination is made by the Committee,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 For avoidance of doubt, if the amount determined pursuant to this </w:t>
      </w:r>
      <w:r>
        <w:rPr>
          <w:rFonts w:ascii="Times New Roman" w:cs="Times New Roman" w:eastAsia="Times New Roman" w:hAnsi="Times New Roman"/>
          <w:sz w:val="18"/>
          <w:szCs w:val="18"/>
          <w:b w:val="1"/>
          <w:bCs w:val="1"/>
          <w:color w:val="auto"/>
        </w:rPr>
        <w:t xml:space="preserve">Section 15.2 </w:t>
      </w:r>
      <w:r>
        <w:rPr>
          <w:rFonts w:ascii="Times New Roman" w:cs="Times New Roman" w:eastAsia="Times New Roman" w:hAnsi="Times New Roman"/>
          <w:sz w:val="18"/>
          <w:szCs w:val="18"/>
          <w:color w:val="auto"/>
        </w:rPr>
        <w:t>for an Option or SAR is zero or less, the affected Option or SAR may be cancelled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payment therefore.</w:t>
      </w:r>
    </w:p>
    <w:p>
      <w:pPr>
        <w:spacing w:after="0" w:line="346"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The Committee need not take the same action in connection with the Change in Control with respect to all Awards or portions thereof, all Grantees, or the vested and unvested portions of an Award. The Committee may provide that payments may be subject to the same terms and conditions as the payment of consideration to the Stockholders in connection with the Change in Control, including any delay as a result of escrows, earn outs, holdbacks or other contingencies. The Committee may also provide that payments made over time will remain subject to substantially the same vesting schedule as the Award, including any performance-based vesting metrics that applied to the Award immediately prior to the closing of the Change in Control.</w:t>
      </w:r>
    </w:p>
    <w:p>
      <w:pPr>
        <w:spacing w:after="0" w:line="1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15.2.2. Payment Conditions</w:t>
      </w:r>
    </w:p>
    <w:p>
      <w:pPr>
        <w:spacing w:after="0" w:line="162" w:lineRule="exact"/>
        <w:rPr>
          <w:sz w:val="20"/>
          <w:szCs w:val="20"/>
          <w:color w:val="auto"/>
        </w:rPr>
      </w:pPr>
    </w:p>
    <w:p>
      <w:pPr>
        <w:ind w:left="1620" w:right="439" w:firstLine="360"/>
        <w:spacing w:after="0" w:line="253" w:lineRule="auto"/>
        <w:rPr>
          <w:sz w:val="20"/>
          <w:szCs w:val="20"/>
          <w:color w:val="auto"/>
        </w:rPr>
      </w:pPr>
      <w:r>
        <w:rPr>
          <w:rFonts w:ascii="Times New Roman" w:cs="Times New Roman" w:eastAsia="Times New Roman" w:hAnsi="Times New Roman"/>
          <w:sz w:val="18"/>
          <w:szCs w:val="18"/>
          <w:color w:val="auto"/>
        </w:rPr>
        <w:t>By accepting an Award under the Plan, each Grantee agrees that if an Award is to be terminated in connection with a Change in Control in exchange for a payment in cash, securities or other property, the Committee may require, as condition to receipt of any such payment, that the Grantee execute an Award termination agreement providing for, among other things, (i) the Grantee’s agreement and consent to (x) the amount of such consideration to be paid in respect of the Award and (y) the termination of the Award in exchange for such consideration, (ii) the Grantee’s agreement to be bound by any applicable provisions contained in the definitive agreements relating to the Change inf Control that are applicable to Stockholders generally, (iii) a customary release of any and all claims the Grantee may have, whether known, unknown or otherwise, arising from or relating to the Award and ownership of Company securities, (iv) the Grantee’s agreement to keep all non-public information provided in connection with the Change in Control transaction confidential, and (v) other customary provisions.</w:t>
      </w:r>
    </w:p>
    <w:p>
      <w:pPr>
        <w:spacing w:after="0" w:line="1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15.2.3. Change in Control Defined</w:t>
      </w:r>
    </w:p>
    <w:p>
      <w:pPr>
        <w:spacing w:after="0" w:line="144" w:lineRule="exact"/>
        <w:rPr>
          <w:sz w:val="20"/>
          <w:szCs w:val="20"/>
          <w:color w:val="auto"/>
        </w:rPr>
      </w:pPr>
    </w:p>
    <w:p>
      <w:pPr>
        <w:ind w:left="1620" w:right="599" w:firstLine="360"/>
        <w:spacing w:after="0" w:line="286" w:lineRule="auto"/>
        <w:rPr>
          <w:sz w:val="20"/>
          <w:szCs w:val="20"/>
          <w:color w:val="auto"/>
        </w:rPr>
      </w:pPr>
      <w:r>
        <w:rPr>
          <w:rFonts w:ascii="Times New Roman" w:cs="Times New Roman" w:eastAsia="Times New Roman" w:hAnsi="Times New Roman"/>
          <w:sz w:val="18"/>
          <w:szCs w:val="18"/>
          <w:color w:val="auto"/>
        </w:rPr>
        <w:t>Unless otherwise provided in the applicable Award Agreement, 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consummation of any of the following events:</w:t>
      </w:r>
    </w:p>
    <w:p>
      <w:pPr>
        <w:spacing w:after="0" w:line="91" w:lineRule="exact"/>
        <w:rPr>
          <w:sz w:val="20"/>
          <w:szCs w:val="20"/>
          <w:color w:val="auto"/>
        </w:rPr>
      </w:pPr>
    </w:p>
    <w:p>
      <w:pPr>
        <w:ind w:left="1980" w:right="419" w:firstLine="360"/>
        <w:spacing w:after="0" w:line="255" w:lineRule="auto"/>
        <w:tabs>
          <w:tab w:leader="none" w:pos="26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other than from the Company, by any individual, entity or group (within the meaning of Section 13(d)(3) or Section 14(d)(2) of the Exchange Act), other than the Company or any subsidiary, affiliate (within the meaning of Rule 144 promulgated under the Securities Act) or employee benefit plan of the Company, of beneficial ownership (within the meaning of</w:t>
      </w:r>
    </w:p>
    <w:p>
      <w:pPr>
        <w:spacing w:after="0" w:line="2" w:lineRule="exact"/>
        <w:rPr>
          <w:rFonts w:ascii="Times New Roman" w:cs="Times New Roman" w:eastAsia="Times New Roman" w:hAnsi="Times New Roman"/>
          <w:sz w:val="18"/>
          <w:szCs w:val="18"/>
          <w:color w:val="auto"/>
        </w:rPr>
      </w:pPr>
    </w:p>
    <w:p>
      <w:pPr>
        <w:ind w:left="198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13d-3 promulgated under the Exchange Act) of more than 50%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b w:val="1"/>
          <w:bCs w:val="1"/>
          <w:color w:val="auto"/>
        </w:rPr>
        <w:t>Voting Securities</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980" w:right="439" w:firstLine="360"/>
        <w:spacing w:after="0" w:line="259" w:lineRule="auto"/>
        <w:tabs>
          <w:tab w:leader="none" w:pos="2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consolidation or recapitalization of the Company (a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other than a Business Combination in which more than 50% of the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outstanding voting securities of the surviving or resulting entity immediately following the Business Combination is held by the Persons who, immediately prior to the Business Combination, were the holders of the Voting Securities; or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firstLine="360"/>
        <w:spacing w:after="0" w:line="282" w:lineRule="auto"/>
        <w:tabs>
          <w:tab w:leader="none" w:pos="27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a sale of all or substantially all of the assets of the Company; or</w:t>
      </w:r>
    </w:p>
    <w:p>
      <w:pPr>
        <w:spacing w:after="0" w:line="80"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the Incumbent Directors cease to</w:t>
      </w:r>
    </w:p>
    <w:p>
      <w:pPr>
        <w:spacing w:after="0" w:line="15" w:lineRule="exact"/>
        <w:rPr>
          <w:rFonts w:ascii="Times New Roman" w:cs="Times New Roman" w:eastAsia="Times New Roman" w:hAnsi="Times New Roman"/>
          <w:sz w:val="18"/>
          <w:szCs w:val="18"/>
          <w:color w:val="auto"/>
        </w:rPr>
      </w:pPr>
    </w:p>
    <w:p>
      <w:pPr>
        <w:ind w:left="198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majority of the Board;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means individuals who were members of the Board at the beginning of such period or individuals whose election or nomination for election to the Board by the Stockholders was approved by a vote of at least a majority of the then Incumbent Directors (but excluding any individual whose initial election or nomination is in connection with an actual or threatened proxy contest relating to the election of directors).</w:t>
      </w:r>
    </w:p>
    <w:p>
      <w:pPr>
        <w:spacing w:after="0" w:line="12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15.3 Adjustments</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Adjustments under this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related to Shares or securities of the Company shall be made by the Committee. No fractional Shares or other securities shall be issued pursuant to any such adjustment, and any fractions resulting from any such adjustment shall be eliminated in each case by rounding downward to the nearest whole Share.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NO LIMITATIONS ON COMPANY</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TERMS APPLICABLE GENERALLY TO AWARDS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17.1 Disclaimer of Rights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and conditions of the Plan.</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17.2 Nonexclusivity of the Plan</w:t>
      </w:r>
    </w:p>
    <w:p>
      <w:pPr>
        <w:spacing w:after="0" w:line="162"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Neither the adoption of the Plan nor the submission of the Plan to the Stockholders for approval shall be construed as creating any limitations upon the right and authority of the Board or its delegate to adopt such other compensation arrangements as the Board or its delegate determines desirable.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17.3 Withholding Taxes</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or an Affiliate, as the case may be, shall have the right to deduct from payments of any kind otherwise due to a Grantee any federal, state or local taxes of any kind required by law to be withheld</w:t>
      </w:r>
    </w:p>
    <w:p>
      <w:pPr>
        <w:ind w:left="1260" w:right="439"/>
        <w:spacing w:after="0" w:line="253" w:lineRule="auto"/>
        <w:tabs>
          <w:tab w:leader="none" w:pos="14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vesting of or other lapse of restrictions applicable to an Award, (ii) upon the issuance of any Shares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Committee, the Grantee may elect</w:t>
      </w: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satisfy such obligations, or the Company may require such obligations to be satisfied, in whole or in part,</w:t>
      </w:r>
    </w:p>
    <w:p>
      <w:pPr>
        <w:spacing w:after="0" w:line="27" w:lineRule="exact"/>
        <w:rPr>
          <w:sz w:val="20"/>
          <w:szCs w:val="20"/>
          <w:color w:val="auto"/>
        </w:rPr>
      </w:pPr>
    </w:p>
    <w:p>
      <w:pPr>
        <w:ind w:left="1260" w:right="419"/>
        <w:spacing w:after="0"/>
        <w:tabs>
          <w:tab w:leader="none" w:pos="14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used to satisfy such withholding obligation shall be determined by the Company or the Affiliate as of the date that the amount of tax to be withheld is to be determined. A Grantee who has made an election pursuant to this </w:t>
      </w:r>
      <w:r>
        <w:rPr>
          <w:rFonts w:ascii="Times New Roman" w:cs="Times New Roman" w:eastAsia="Times New Roman" w:hAnsi="Times New Roman"/>
          <w:sz w:val="18"/>
          <w:szCs w:val="18"/>
          <w:b w:val="1"/>
          <w:bCs w:val="1"/>
          <w:color w:val="auto"/>
        </w:rPr>
        <w:t>Section 17.3</w:t>
      </w:r>
      <w:r>
        <w:rPr>
          <w:rFonts w:ascii="Times New Roman" w:cs="Times New Roman" w:eastAsia="Times New Roman" w:hAnsi="Times New Roman"/>
          <w:sz w:val="18"/>
          <w:szCs w:val="18"/>
          <w:color w:val="auto"/>
        </w:rPr>
        <w:t xml:space="preserve"> may satisfy his or her withholding obligation only with Shares that are not subject to any repurchase, forfeiture, unfulfilled vesting or other similar requirements.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17.4 Other Provisions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Each Award Agreement may contain such other terms and conditions not inconsistent with the Plan as may be determined by the Committee.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17.5 Severability</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conditions, and all provisions shall remain enforceable in any other jurisdiction.</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17.6 Governing Law</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Plan shall be governed by and construed in accordance with the laws of the State of Delaware without giving effect to the principles of conflicts of law.</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17.7 Section 409A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intends that the Plan and Awards granted under the Plan (unless otherwise expressly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provided for in the Award Agreement or Committee resolutions approving the Award) are exempt from the</w:t>
      </w:r>
    </w:p>
    <w:p>
      <w:pPr>
        <w:ind w:left="1260"/>
        <w:spacing w:after="0"/>
        <w:rPr>
          <w:sz w:val="20"/>
          <w:szCs w:val="20"/>
          <w:color w:val="auto"/>
        </w:rPr>
      </w:pPr>
      <w:r>
        <w:rPr>
          <w:rFonts w:ascii="Times New Roman" w:cs="Times New Roman" w:eastAsia="Times New Roman" w:hAnsi="Times New Roman"/>
          <w:sz w:val="18"/>
          <w:szCs w:val="18"/>
          <w:color w:val="auto"/>
        </w:rPr>
        <w:t>requirements of Section 409A to the maximum extent possible, whether pursuant to the short-term deferral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exception described in Treasury Regulation Section 1.409A-1(b)(4), the exclusion applicable to share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options, share appreciation rights and certain other equity-based compensation under Treasury</w:t>
      </w:r>
    </w:p>
    <w:p>
      <w:pPr>
        <w:ind w:left="1260"/>
        <w:spacing w:after="0" w:line="235" w:lineRule="auto"/>
        <w:rPr>
          <w:sz w:val="20"/>
          <w:szCs w:val="20"/>
          <w:color w:val="auto"/>
        </w:rPr>
      </w:pPr>
      <w:r>
        <w:rPr>
          <w:rFonts w:ascii="Times New Roman" w:cs="Times New Roman" w:eastAsia="Times New Roman" w:hAnsi="Times New Roman"/>
          <w:sz w:val="18"/>
          <w:szCs w:val="18"/>
          <w:color w:val="auto"/>
        </w:rPr>
        <w:t>Regulation Section 1.409A-1(b)(5) or 1.409A-1(b)(6), or otherwise. The Committee shall use best efforts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interpret, operate and administer the Plan and any Award granted under the Plan in a manner consistent with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intention. However, the Committee makes no representations that Awards granted under the Plan shall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 exempt from or comply with Section 409A and makes no undertaking to preclude Section 409A from</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applying to Awards granted under the Plan.</w:t>
      </w:r>
    </w:p>
    <w:p>
      <w:pPr>
        <w:spacing w:after="0" w:line="120" w:lineRule="exact"/>
        <w:rPr>
          <w:sz w:val="20"/>
          <w:szCs w:val="20"/>
          <w:color w:val="auto"/>
        </w:rPr>
      </w:pPr>
    </w:p>
    <w:p>
      <w:pPr>
        <w:ind w:left="1620" w:right="67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17.7.1. </w:t>
      </w:r>
      <w:r>
        <w:rPr>
          <w:rFonts w:ascii="Times New Roman" w:cs="Times New Roman" w:eastAsia="Times New Roman" w:hAnsi="Times New Roman"/>
          <w:sz w:val="18"/>
          <w:szCs w:val="18"/>
          <w:color w:val="auto"/>
        </w:rPr>
        <w:t>If Section 409A is applicable to any Award granted under the Plan (that is,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so exempt), the Committee intends that the non-exempt Award will comply with the deferral, payout, plan termination and other limitations and restrictions imposed under Section 409A.</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17.7.2.  </w:t>
      </w:r>
      <w:r>
        <w:rPr>
          <w:rFonts w:ascii="Times New Roman" w:cs="Times New Roman" w:eastAsia="Times New Roman" w:hAnsi="Times New Roman"/>
          <w:sz w:val="18"/>
          <w:szCs w:val="18"/>
          <w:color w:val="auto"/>
        </w:rPr>
        <w:t>If necessary for exemption from, or compliance with, Section 409A:</w:t>
      </w:r>
    </w:p>
    <w:p>
      <w:pPr>
        <w:spacing w:after="0" w:line="162" w:lineRule="exact"/>
        <w:rPr>
          <w:sz w:val="20"/>
          <w:szCs w:val="20"/>
          <w:color w:val="auto"/>
        </w:rPr>
      </w:pPr>
    </w:p>
    <w:p>
      <w:pPr>
        <w:ind w:left="1980" w:right="619" w:firstLine="360"/>
        <w:spacing w:after="0" w:line="250" w:lineRule="auto"/>
        <w:tabs>
          <w:tab w:leader="none" w:pos="26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Plan or any Award granted under the Plan to the termination of the Grantee’s employment or service are intended to mean the Grantee’s “separation from service,” within the meaning of Section 409A(a)(2)(A)(i).</w:t>
      </w:r>
    </w:p>
    <w:p>
      <w:pPr>
        <w:spacing w:after="0" w:line="109" w:lineRule="exact"/>
        <w:rPr>
          <w:rFonts w:ascii="Times New Roman" w:cs="Times New Roman" w:eastAsia="Times New Roman" w:hAnsi="Times New Roman"/>
          <w:sz w:val="18"/>
          <w:szCs w:val="18"/>
          <w:color w:val="auto"/>
        </w:rPr>
      </w:pPr>
    </w:p>
    <w:p>
      <w:pPr>
        <w:ind w:left="1980" w:right="459" w:firstLine="360"/>
        <w:spacing w:after="0" w:line="254" w:lineRule="auto"/>
        <w:tabs>
          <w:tab w:leader="none" w:pos="27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treat each installment that vests or is delivered under an Award in a series of payments or installments as a separate and distinct payment for purposes of</w:t>
      </w:r>
    </w:p>
    <w:p>
      <w:pPr>
        <w:ind w:left="1980" w:right="75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unless expressly set forth in the Award Agreement that each installment is not a separate payment.</w:t>
      </w:r>
    </w:p>
    <w:p>
      <w:pPr>
        <w:spacing w:after="0" w:line="114"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7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a “specified employee,” within the meaning of Section 409A, then if necessary to avoid subjecting the Grantee to the imposition of any additional tax under Section 409A, amounts that would otherwise be payable under the Plan or any Award granted under the Plan during the six-month period immediately following the Grantee’s “separation from service” will not be paid to the Grantee during such period, but will instead be accumulated and</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19"/>
        <w:spacing w:after="0" w:line="261" w:lineRule="auto"/>
        <w:rPr>
          <w:sz w:val="20"/>
          <w:szCs w:val="20"/>
          <w:color w:val="auto"/>
        </w:rPr>
      </w:pPr>
      <w:r>
        <w:rPr>
          <w:rFonts w:ascii="Times New Roman" w:cs="Times New Roman" w:eastAsia="Times New Roman" w:hAnsi="Times New Roman"/>
          <w:sz w:val="18"/>
          <w:szCs w:val="18"/>
          <w:color w:val="auto"/>
        </w:rPr>
        <w:t>paid to the Grantee (or, in the event of the Grantee’s death, the Grantee’s estate) in a lump sum on the first business day after the earlier of the date that is six months following the Grantee’s separation from service or the Grantee’s death, unless the amounts can be paid in another manner that complies with Section 409A.</w:t>
      </w:r>
    </w:p>
    <w:p>
      <w:pPr>
        <w:spacing w:after="0" w:line="112" w:lineRule="exact"/>
        <w:rPr>
          <w:sz w:val="20"/>
          <w:szCs w:val="20"/>
          <w:color w:val="auto"/>
        </w:rPr>
      </w:pPr>
    </w:p>
    <w:p>
      <w:pPr>
        <w:ind w:left="1980" w:right="519" w:firstLine="360"/>
        <w:spacing w:after="0" w:line="255" w:lineRule="auto"/>
        <w:tabs>
          <w:tab w:leader="none" w:pos="2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Grant Date of an Award, the Committee determines that an Award is reasonably likely to fail to be either exempt from or compliant with Section 409A, the Committee reserves the right, but shall not be required, to unilaterally (and without the affected Grantee’s consent) amend or modify the Plan and any Award granted under the Plan so that the Award qualifies for exemption from or complies with Section 409A. Any such amendment or modification made to avoid the imposition of adverse taxation under Section 409A shall be deemed not to materially impair a Grantee’s rights or obligations under any Award.</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17.8 Separation from Service</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The Committee shall determine the effect of a Separation from Service upon Awards, and such effect shall be set forth in the applicable Award Agreement. Without limiting the foregoing, the Committee may provide in the Award Agreements at the time of grant, or any time thereafter with the consent of the Grantee, the actions that will be taken upon the occurrence of a Separation from Service, including accelerated vesting or termination, depending upon the circumstances surrounding the Separation from Service.</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17.9 Transferability of Awards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17.9.1. Transfers in General</w:t>
      </w:r>
    </w:p>
    <w:p>
      <w:pPr>
        <w:spacing w:after="0" w:line="144" w:lineRule="exact"/>
        <w:rPr>
          <w:sz w:val="20"/>
          <w:szCs w:val="20"/>
          <w:color w:val="auto"/>
        </w:rPr>
      </w:pPr>
    </w:p>
    <w:p>
      <w:pPr>
        <w:jc w:val="both"/>
        <w:ind w:left="1620" w:right="559" w:firstLine="360"/>
        <w:spacing w:after="0" w:line="268"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no Award shall be assignable or transferable by the Grantee, other than by will or the laws of descent and distribution, and, during the lifetime of the Grantee, only the Grantee personally (or the Grantee’s personal representative) may exercise rights under the Plan.</w:t>
      </w:r>
    </w:p>
    <w:p>
      <w:pPr>
        <w:spacing w:after="0" w:line="17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17.9.2. Family Transfers</w:t>
      </w:r>
    </w:p>
    <w:p>
      <w:pPr>
        <w:spacing w:after="0" w:line="162" w:lineRule="exact"/>
        <w:rPr>
          <w:sz w:val="20"/>
          <w:szCs w:val="20"/>
          <w:color w:val="auto"/>
        </w:rPr>
      </w:pPr>
    </w:p>
    <w:p>
      <w:pPr>
        <w:ind w:left="162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authorized in the applicable Award Agreement, a Grantee may transfer, not for value, all or part of an Award (other than Incentive Stock Options) to any Family Member. For the purpose of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a “not for value” transfer is a transfer that is (i) a gift, (ii) a transfer under a domestic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relations order in settlement of marital property rights or (iii) a transfer to an entity in which more than 50% of the voting interests are owned by Family Members (or the Grantee) in exchange for an interest in that entity. Following a transfer under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xml:space="preserve"> or by will or the laws of descent and distribution.</w:t>
      </w:r>
    </w:p>
    <w:p>
      <w:pPr>
        <w:spacing w:after="0" w:line="1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17.9.3. Dividends and Dividend Equivalent Rights</w:t>
      </w:r>
    </w:p>
    <w:p>
      <w:pPr>
        <w:spacing w:after="0" w:line="162" w:lineRule="exact"/>
        <w:rPr>
          <w:sz w:val="20"/>
          <w:szCs w:val="20"/>
          <w:color w:val="auto"/>
        </w:rPr>
      </w:pPr>
    </w:p>
    <w:p>
      <w:pPr>
        <w:ind w:left="1620" w:right="479" w:firstLine="360"/>
        <w:spacing w:after="0" w:line="254" w:lineRule="auto"/>
        <w:rPr>
          <w:sz w:val="20"/>
          <w:szCs w:val="20"/>
          <w:color w:val="auto"/>
        </w:rPr>
      </w:pPr>
      <w:r>
        <w:rPr>
          <w:rFonts w:ascii="Times New Roman" w:cs="Times New Roman" w:eastAsia="Times New Roman" w:hAnsi="Times New Roman"/>
          <w:sz w:val="18"/>
          <w:szCs w:val="18"/>
          <w:color w:val="auto"/>
        </w:rPr>
        <w:t>If specified in the Award Agreement, the recipient of an Award may be entitled to receive, currently or on a deferred basis, dividends or dividend equivalents with respect to the Common Stock or other securities covered by an Award. The terms and conditions of a dividend equivalent right may be set forth in the Award Agreement. Dividend equivalents credited to a Grantee may be paid currently or may be deemed to be reinvested in additional Shares or other securities of the Company at a price per unit equal to the Fair Market Value on the date that such dividend was paid to Stockholders, as determined by the Committee. Notwithstanding the foregoing, in no event will dividends or dividend equivalents on any Award that is subject to the achievement of performance criteria be payable before the Award has become earned and payable.</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17.10 No Trust of Fund.</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Plan is intended to constitute an “unfunded” plan. Nothing contained herein shall require the Company to segregate any monies or other property, or Shares, or to create any trusts, or to make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special deposits for any immediate or deferred amounts payable to any Grantee, and no Grantee shall have any rights that are greater than those of a general unsecured creditor of the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17.11 Plan Construction</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the Plan, unless otherwise stated, the following uses apply: (i) references to a statute or law refer to the statute or law and any amendments and any successor statutes or laws, and to all valid and binding governmental regulations, court decisions and other regulatory and judicial authority issued or rendered thereunder, as amended, or their successors, as in effect at the relevant time; (ii) in computing periods from a specified date to a later specified date, the words “from” and “commencing on” (and​ the like) mean “from and including,” and the words “to,” “until” and “ending on” (and​ the like) mean “to and including”;</w:t>
      </w:r>
    </w:p>
    <w:p>
      <w:pPr>
        <w:spacing w:after="0" w:line="5" w:lineRule="exact"/>
        <w:rPr>
          <w:sz w:val="20"/>
          <w:szCs w:val="20"/>
          <w:color w:val="auto"/>
        </w:rPr>
      </w:pPr>
    </w:p>
    <w:p>
      <w:pPr>
        <w:ind w:left="1260" w:right="599"/>
        <w:spacing w:after="0" w:line="250" w:lineRule="auto"/>
        <w:tabs>
          <w:tab w:leader="none" w:pos="1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indications of time of day shall be based upon the time applicable to the location of the principal headquarters of the Company; (iv) the words “include,” “includes” and “including” (and​ the like) mean “include, without limitation,” “includes, without limitation” and “including, without limitation” (and​ the like), respectively; (v) all references to articles and sections are to articles and sections in the Plan; (vi) all words used shall be construed to be of such gender or number as the circumstances and context require;</w:t>
      </w:r>
    </w:p>
    <w:p>
      <w:pPr>
        <w:spacing w:after="0" w:line="1" w:lineRule="exact"/>
        <w:rPr>
          <w:rFonts w:ascii="Times New Roman" w:cs="Times New Roman" w:eastAsia="Times New Roman" w:hAnsi="Times New Roman"/>
          <w:sz w:val="18"/>
          <w:szCs w:val="18"/>
          <w:color w:val="auto"/>
        </w:rPr>
      </w:pPr>
    </w:p>
    <w:p>
      <w:pPr>
        <w:ind w:left="1260" w:right="459"/>
        <w:spacing w:after="0" w:line="251" w:lineRule="auto"/>
        <w:tabs>
          <w:tab w:leader="none" w:pos="16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and headings of articles and sections have been inserted solely for convenience of reference and shall not be considered a part of the Plan, nor shall any of them affect the meaning or interpretation of the Plan or any of its provisions; (viii)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884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89884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decimal"/>
      <w:start w:val="3"/>
    </w:lvl>
  </w:abstractNum>
  <w:abstractNum w:abstractNumId="15">
    <w:nsid w:val="2D517796"/>
    <w:multiLevelType w:val="hybridMultilevel"/>
    <w:lvl w:ilvl="0">
      <w:lvlJc w:val="left"/>
      <w:lvlText w:val="(%1)"/>
      <w:numFmt w:val="decimal"/>
      <w:start w:val="4"/>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2"/>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lowerRoman"/>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lowerRoman"/>
      <w:start w:val="2"/>
    </w:lvl>
  </w:abstractNum>
  <w:abstractNum w:abstractNumId="39">
    <w:nsid w:val="75C6C33A"/>
    <w:multiLevelType w:val="hybridMultilevel"/>
    <w:lvl w:ilvl="0">
      <w:lvlJc w:val="left"/>
      <w:lvlText w:val="(%1)"/>
      <w:numFmt w:val="lowerRoman"/>
      <w:start w:val="2"/>
    </w:lvl>
  </w:abstractNum>
  <w:abstractNum w:abstractNumId="40">
    <w:nsid w:val="12E685FB"/>
    <w:multiLevelType w:val="hybridMultilevel"/>
    <w:lvl w:ilvl="0">
      <w:lvlJc w:val="left"/>
      <w:lvlText w:val="(%1)"/>
      <w:numFmt w:val="lowerRoman"/>
      <w:start w:val="4"/>
    </w:lvl>
  </w:abstractNum>
  <w:abstractNum w:abstractNumId="41">
    <w:nsid w:val="70C6A529"/>
    <w:multiLevelType w:val="hybridMultilevel"/>
    <w:lvl w:ilvl="0">
      <w:lvlJc w:val="left"/>
      <w:lvlText w:val="(%1)"/>
      <w:numFmt w:val="lowerRoman"/>
      <w:start w:val="1"/>
    </w:lvl>
  </w:abstractNum>
  <w:abstractNum w:abstractNumId="42">
    <w:nsid w:val="520EEDD1"/>
    <w:multiLevelType w:val="hybridMultilevel"/>
    <w:lvl w:ilvl="0">
      <w:lvlJc w:val="left"/>
      <w:lvlText w:val="(%1)"/>
      <w:numFmt w:val="lowerRoman"/>
      <w:start w:val="3"/>
    </w:lvl>
  </w:abstractNum>
  <w:abstractNum w:abstractNumId="43">
    <w:nsid w:val="374A3FE6"/>
    <w:multiLevelType w:val="hybridMultilevel"/>
    <w:lvl w:ilvl="0">
      <w:lvlJc w:val="left"/>
      <w:lvlText w:val="(%1)"/>
      <w:numFmt w:val="lowerRoman"/>
      <w:start w:val="1"/>
    </w:lvl>
  </w:abstractNum>
  <w:abstractNum w:abstractNumId="44">
    <w:nsid w:val="4F4EF005"/>
    <w:multiLevelType w:val="hybridMultilevel"/>
    <w:lvl w:ilvl="0">
      <w:lvlJc w:val="left"/>
      <w:lvlText w:val="%1"/>
      <w:numFmt w:val="decimal"/>
      <w:start w:val="1"/>
    </w:lvl>
    <w:lvl w:ilvl="1">
      <w:lvlJc w:val="left"/>
      <w:lvlText w:val="(%2)"/>
      <w:numFmt w:val="lowerRoman"/>
      <w:start w:val="1"/>
    </w:lvl>
  </w:abstractNum>
  <w:abstractNum w:abstractNumId="45">
    <w:nsid w:val="23F9C13C"/>
    <w:multiLevelType w:val="hybridMultilevel"/>
    <w:lvl w:ilvl="0">
      <w:lvlJc w:val="left"/>
      <w:lvlText w:val="%1."/>
      <w:numFmt w:val="decimal"/>
      <w:start w:val="5"/>
    </w:lvl>
    <w:lvl w:ilvl="1">
      <w:lvlJc w:val="left"/>
      <w:lvlText w:val="%2"/>
      <w:numFmt w:val="lowerRoman"/>
      <w:start w:val="1"/>
    </w:lvl>
  </w:abstractNum>
  <w:abstractNum w:abstractNumId="46">
    <w:nsid w:val="649BB77C"/>
    <w:multiLevelType w:val="hybridMultilevel"/>
    <w:lvl w:ilvl="0">
      <w:lvlJc w:val="left"/>
      <w:lvlText w:val="%1."/>
      <w:numFmt w:val="decimal"/>
      <w:start w:val="10"/>
    </w:lvl>
  </w:abstractNum>
  <w:abstractNum w:abstractNumId="47">
    <w:nsid w:val="275AC794"/>
    <w:multiLevelType w:val="hybridMultilevel"/>
    <w:lvl w:ilvl="0">
      <w:lvlJc w:val="left"/>
      <w:lvlText w:val="(%1)"/>
      <w:numFmt w:val="lowerRoman"/>
      <w:start w:val="1"/>
    </w:lvl>
  </w:abstractNum>
  <w:abstractNum w:abstractNumId="48">
    <w:nsid w:val="39386575"/>
    <w:multiLevelType w:val="hybridMultilevel"/>
    <w:lvl w:ilvl="0">
      <w:lvlJc w:val="left"/>
      <w:lvlText w:val="%1."/>
      <w:numFmt w:val="decimal"/>
      <w:start w:val="12"/>
    </w:lvl>
  </w:abstractNum>
  <w:abstractNum w:abstractNumId="49">
    <w:nsid w:val="1CF10FD8"/>
    <w:multiLevelType w:val="hybridMultilevel"/>
    <w:lvl w:ilvl="0">
      <w:lvlJc w:val="left"/>
      <w:lvlText w:val="(%1)"/>
      <w:numFmt w:val="lowerRoman"/>
      <w:start w:val="5"/>
    </w:lvl>
  </w:abstractNum>
  <w:abstractNum w:abstractNumId="50">
    <w:nsid w:val="180115BE"/>
    <w:multiLevelType w:val="hybridMultilevel"/>
    <w:lvl w:ilvl="0">
      <w:lvlJc w:val="left"/>
      <w:lvlText w:val="(%1)"/>
      <w:numFmt w:val="lowerRoman"/>
      <w:start w:val="15"/>
    </w:lvl>
  </w:abstractNum>
  <w:abstractNum w:abstractNumId="51">
    <w:nsid w:val="235BA861"/>
    <w:multiLevelType w:val="hybridMultilevel"/>
    <w:lvl w:ilvl="0">
      <w:lvlJc w:val="left"/>
      <w:lvlText w:val="(%1)"/>
      <w:numFmt w:val="lowerRoman"/>
      <w:start w:val="19"/>
    </w:lvl>
  </w:abstractNum>
  <w:abstractNum w:abstractNumId="52">
    <w:nsid w:val="47398C89"/>
    <w:multiLevelType w:val="hybridMultilevel"/>
    <w:lvl w:ilvl="0">
      <w:lvlJc w:val="left"/>
      <w:lvlText w:val="(%1)"/>
      <w:numFmt w:val="lowerRoman"/>
      <w:start w:val="22"/>
    </w:lvl>
  </w:abstractNum>
  <w:abstractNum w:abstractNumId="53">
    <w:nsid w:val="354FE9F9"/>
    <w:multiLevelType w:val="hybridMultilevel"/>
    <w:lvl w:ilvl="0">
      <w:lvlJc w:val="left"/>
      <w:lvlText w:val="(%1)"/>
      <w:numFmt w:val="lowerRoman"/>
      <w:start w:val="35"/>
    </w:lvl>
  </w:abstractNum>
  <w:abstractNum w:abstractNumId="54">
    <w:nsid w:val="15B5AF5C"/>
    <w:multiLevelType w:val="hybridMultilevel"/>
    <w:lvl w:ilvl="0">
      <w:lvlJc w:val="left"/>
      <w:lvlText w:val="(%1)"/>
      <w:numFmt w:val="lowerRoman"/>
      <w:start w:val="1"/>
    </w:lvl>
  </w:abstractNum>
  <w:abstractNum w:abstractNumId="55">
    <w:nsid w:val="741226BB"/>
    <w:multiLevelType w:val="hybridMultilevel"/>
    <w:lvl w:ilvl="0">
      <w:lvlJc w:val="left"/>
      <w:lvlText w:val="(%1)"/>
      <w:numFmt w:val="lowerRoman"/>
      <w:start w:val="1"/>
    </w:lvl>
  </w:abstractNum>
  <w:abstractNum w:abstractNumId="56">
    <w:nsid w:val="D34B6A8"/>
    <w:multiLevelType w:val="hybridMultilevel"/>
    <w:lvl w:ilvl="0">
      <w:lvlJc w:val="left"/>
      <w:lvlText w:val="(%1)"/>
      <w:numFmt w:val="lowerRoman"/>
      <w:start w:val="1"/>
    </w:lvl>
  </w:abstractNum>
  <w:abstractNum w:abstractNumId="57">
    <w:nsid w:val="10233C99"/>
    <w:multiLevelType w:val="hybridMultilevel"/>
    <w:lvl w:ilvl="0">
      <w:lvlJc w:val="left"/>
      <w:lvlText w:val="(%1)"/>
      <w:numFmt w:val="lowerRoman"/>
      <w:start w:val="3"/>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lowerRoman"/>
      <w:start w:val="1"/>
    </w:lvl>
  </w:abstractNum>
  <w:abstractNum w:abstractNumId="60">
    <w:nsid w:val="7E0C57B1"/>
    <w:multiLevelType w:val="hybridMultilevel"/>
    <w:lvl w:ilvl="0">
      <w:lvlJc w:val="left"/>
      <w:lvlText w:val="(%1)"/>
      <w:numFmt w:val="lowerRoman"/>
      <w:start w:val="1"/>
    </w:lvl>
  </w:abstractNum>
  <w:abstractNum w:abstractNumId="61">
    <w:nsid w:val="77AE35EB"/>
    <w:multiLevelType w:val="hybridMultilevel"/>
    <w:lvl w:ilvl="0">
      <w:lvlJc w:val="left"/>
      <w:lvlText w:val="(%1)"/>
      <w:numFmt w:val="lowerRoman"/>
      <w:start w:val="4"/>
    </w:lvl>
  </w:abstractNum>
  <w:abstractNum w:abstractNumId="62">
    <w:nsid w:val="579BE4F1"/>
    <w:multiLevelType w:val="hybridMultilevel"/>
    <w:lvl w:ilvl="0">
      <w:lvlJc w:val="left"/>
      <w:lvlText w:val="(%1)"/>
      <w:numFmt w:val="lowerRoman"/>
      <w:start w:val="3"/>
    </w:lvl>
  </w:abstractNum>
  <w:abstractNum w:abstractNumId="63">
    <w:nsid w:val="310C50B3"/>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2026-04-29T17:09:31Z</dcterms:created>
  <dcterms:modified xsi:type="dcterms:W3CDTF">2026-04-29T17:09:31Z</dcterms:modified>
</cp:coreProperties>
</file>