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Sadikoff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22,567</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recommendation of the issuer's independent compensation consultant, represents a one-time refresher grant of restricted stock units ("RSUs") that vests as to 33% of the RSUs on the first anniversary of the grant, with the remaining RSUs vesting in equal quarterly installments over the subsequent two years,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503"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3525</Characters>
  <CharactersWithSpaces>4102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