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Burak Mallorie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ENERGOUS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3590 NORTH FIRST STREET, SUITE 330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Energous Corp</w:t>
              </w:r>
            </w:hyperlink>
            <w:r>
              <w:rPr/>
              <w:t xml:space="preserve"> [ </w:t>
            </w:r>
            <w:r>
              <w:rPr>
                <w:rFonts w:ascii="Times;serif" w:hAnsi="Times;serif"/>
                <w:color w:val="0000FF"/>
                <w:sz w:val="24"/>
                <w:shd w:fill="FFFFFF" w:val="clear"/>
              </w:rPr>
              <w:t>WATT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836"/>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146,266</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173,265</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recommendation of the issuer's independent compensation consultant, represents a one-time refresher grant of restricted stock units ("RSUs") that vests as to 33% of the RSUs on the first anniversary of the grant, with the remaining RSUs vesting in equal quarterly installments over the subsequent two years, subject to the reporting person's continued service to the issuer on each vesting date. Each RSU represents the contingent right to receive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Mallorie Sara Burak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5196" TargetMode="External"/><Relationship Id="rId5" Type="http://schemas.openxmlformats.org/officeDocument/2006/relationships/hyperlink" Target="http://www.sec.gov/cgi-bin/browse-edgar?action=getcompany&amp;CIK=00015757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3499</Characters>
  <CharactersWithSpaces>4076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