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3253d1_8k.htm"/>
      <w:bookmarkStart w:id="1" w:name="kstm261325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51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May 13,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ENERGOUS CORPORATION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225"/>
        <w:gridCol w:w="60"/>
        <w:gridCol w:w="1100"/>
        <w:gridCol w:w="60"/>
        <w:gridCol w:w="1550"/>
      </w:tblGrid>
      <w:tr>
        <w:trPr/>
        <w:tc>
          <w:tcPr>
            <w:tcW w:w="2225" w:type="dxa"/>
            <w:tcBorders/>
            <w:vAlign w:val="center"/>
          </w:tcPr>
          <w:p>
            <w:pPr>
              <w:pStyle w:val="TableContents"/>
              <w:bidi w:val="0"/>
              <w:spacing w:before="0" w:after="283"/>
              <w:jc w:val="center"/>
              <w:rPr>
                <w:rFonts w:ascii="Times New Roman;Times;Serif" w:hAnsi="Times New Roman;Times;Serif"/>
                <w:sz w:val="20"/>
              </w:rPr>
            </w:pPr>
            <w:bookmarkStart w:id="5" w:name="xdx_90B_edei--EntityIncorporationStateCo"/>
            <w:bookmarkEnd w:id="5"/>
            <w:r>
              <w:rPr>
                <w:rFonts w:ascii="Times New Roman;Times;Serif" w:hAnsi="Times New Roman;Times;Serif"/>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bookmarkStart w:id="6" w:name="xdx_90E_edei--EntityFileNumber_c20260513"/>
            <w:bookmarkEnd w:id="6"/>
            <w:r>
              <w:rPr>
                <w:rFonts w:ascii="Times New Roman;Times;Serif" w:hAnsi="Times New Roman;Times;Serif"/>
                <w:sz w:val="20"/>
              </w:rPr>
              <w:t>001-36379</w:t>
            </w:r>
          </w:p>
        </w:tc>
        <w:tc>
          <w:tcPr>
            <w:tcW w:w="6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rFonts w:ascii="Times New Roman;Times;Serif" w:hAnsi="Times New Roman;Times;Serif"/>
                <w:sz w:val="20"/>
              </w:rPr>
            </w:pPr>
            <w:bookmarkStart w:id="7" w:name="xdx_903_edei--EntityTaxIdentificationNum"/>
            <w:bookmarkEnd w:id="7"/>
            <w:r>
              <w:rPr>
                <w:rFonts w:ascii="Times New Roman;Times;Serif" w:hAnsi="Times New Roman;Times;Serif"/>
                <w:sz w:val="20"/>
              </w:rPr>
              <w:t>46-1318953</w:t>
            </w:r>
          </w:p>
        </w:tc>
      </w:tr>
      <w:tr>
        <w:trPr/>
        <w:tc>
          <w:tcPr>
            <w:tcW w:w="222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val="false"/>
          <w:i w:val="false"/>
          <w:caps w:val="false"/>
          <w:smallCaps w:val="false"/>
          <w:sz w:val="20"/>
        </w:rPr>
        <w:t xml:space="preserve">3590 North First Street, </w:t>
      </w:r>
      <w:bookmarkStart w:id="9" w:name="xdx_90D_edei--EntityAddressAddressLine2_"/>
      <w:bookmarkEnd w:id="9"/>
      <w:r>
        <w:rPr>
          <w:rFonts w:ascii="Times New Roman;Times;Serif" w:hAnsi="Times New Roman;Times;Serif"/>
          <w:b w:val="false"/>
          <w:i w:val="false"/>
          <w:caps w:val="false"/>
          <w:smallCaps w:val="false"/>
          <w:sz w:val="20"/>
        </w:rPr>
        <w:t>Suite 330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8_edei--EntityAddressCityOrTown_c2"/>
      <w:bookmarkEnd w:id="10"/>
      <w:r>
        <w:rPr>
          <w:rFonts w:ascii="Times New Roman;Times;Serif" w:hAnsi="Times New Roman;Times;Serif"/>
          <w:b w:val="false"/>
          <w:i w:val="false"/>
          <w:caps w:val="false"/>
          <w:smallCaps w:val="false"/>
          <w:sz w:val="20"/>
        </w:rPr>
        <w:t xml:space="preserve">San Jose, </w:t>
      </w:r>
      <w:bookmarkStart w:id="11" w:name="xdx_901_edei--EntityAddressStateOrProvin"/>
      <w:bookmarkEnd w:id="11"/>
      <w:r>
        <w:rPr>
          <w:rFonts w:ascii="Times New Roman;Times;Serif" w:hAnsi="Times New Roman;Times;Serif"/>
          <w:b w:val="false"/>
          <w:i w:val="false"/>
          <w:caps w:val="false"/>
          <w:smallCaps w:val="false"/>
          <w:sz w:val="20"/>
        </w:rPr>
        <w:t xml:space="preserve">California </w:t>
      </w:r>
      <w:bookmarkStart w:id="12" w:name="xdx_90F_edei--EntityAddressPostalZipCode"/>
      <w:bookmarkEnd w:id="12"/>
      <w:r>
        <w:rPr>
          <w:rFonts w:ascii="Times New Roman;Times;Serif" w:hAnsi="Times New Roman;Times;Serif"/>
          <w:b w:val="false"/>
          <w:i w:val="false"/>
          <w:caps w:val="false"/>
          <w:smallCaps w:val="false"/>
          <w:sz w:val="20"/>
        </w:rPr>
        <w:t>95134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A_edei--CityAreaCode_c20260513__20"/>
      <w:bookmarkEnd w:id="13"/>
      <w:r>
        <w:rPr>
          <w:rFonts w:ascii="Times New Roman;Times;Serif" w:hAnsi="Times New Roman;Times;Serif"/>
          <w:b w:val="false"/>
          <w:i w:val="false"/>
          <w:caps w:val="false"/>
          <w:smallCaps w:val="false"/>
          <w:sz w:val="20"/>
        </w:rPr>
        <w:t xml:space="preserve">408) </w:t>
      </w:r>
      <w:bookmarkStart w:id="14" w:name="xdx_909_edei--LocalPhoneNumber_c20260513"/>
      <w:bookmarkEnd w:id="14"/>
      <w:r>
        <w:rPr>
          <w:rFonts w:ascii="Times New Roman;Times;Serif" w:hAnsi="Times New Roman;Times;Serif"/>
          <w:b w:val="false"/>
          <w:i w:val="false"/>
          <w:caps w:val="false"/>
          <w:smallCaps w:val="false"/>
          <w:sz w:val="20"/>
        </w:rPr>
        <w:t>963-0200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0_edei--SolicitingMaterial_c202605"/>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3725"/>
        <w:gridCol w:w="60"/>
        <w:gridCol w:w="1505"/>
        <w:gridCol w:w="60"/>
        <w:gridCol w:w="3590"/>
      </w:tblGrid>
      <w:tr>
        <w:trPr/>
        <w:tc>
          <w:tcPr>
            <w:tcW w:w="3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registered</w:t>
            </w:r>
          </w:p>
        </w:tc>
        <w:tc>
          <w:tcPr>
            <w:tcW w:w="60" w:type="dxa"/>
            <w:tcBorders/>
            <w:tcMar>
              <w:bottom w:w="0" w:type="dxa"/>
            </w:tcMar>
            <w:vAlign w:val="center"/>
          </w:tcPr>
          <w:p>
            <w:pPr>
              <w:pStyle w:val="TableContents"/>
              <w:bidi w:val="0"/>
              <w:spacing w:before="0" w:after="283"/>
              <w:jc w:val="center"/>
              <w:rPr/>
            </w:pPr>
            <w:r>
              <w:rPr/>
              <w:t> </w:t>
            </w:r>
          </w:p>
        </w:tc>
        <w:tc>
          <w:tcPr>
            <w:tcW w:w="15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7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Security12bTitle_c20260513"/>
            <w:bookmarkEnd w:id="19"/>
            <w:r>
              <w:rPr>
                <w:rFonts w:ascii="Times New Roman;Times;Serif" w:hAnsi="Times New Roman;Times;Serif"/>
                <w:sz w:val="20"/>
              </w:rPr>
              <w:t>Common Stock, par value $0.00001 per share</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TradingSymbol_c20260513__2"/>
            <w:bookmarkEnd w:id="20"/>
            <w:r>
              <w:rPr>
                <w:rFonts w:ascii="Times New Roman;Times;Serif" w:hAnsi="Times New Roman;Times;Serif"/>
                <w:sz w:val="20"/>
              </w:rPr>
              <w:t>WATT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0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Energous Corporation issued a press release announcing its financial results for the three months ended March 31, 2026.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Exhibit 99.1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28" w:type="dxa"/>
          <w:right w:w="0" w:type="dxa"/>
        </w:tblCellMar>
      </w:tblPr>
      <w:tblGrid>
        <w:gridCol w:w="665"/>
        <w:gridCol w:w="60"/>
        <w:gridCol w:w="5825"/>
      </w:tblGrid>
      <w:tr>
        <w:trPr/>
        <w:tc>
          <w:tcPr>
            <w:tcW w:w="665" w:type="dxa"/>
            <w:tcBorders>
              <w:bottom w:val="single" w:sz="8" w:space="0" w:color="000000"/>
            </w:tcBorders>
            <w:vAlign w:val="center"/>
          </w:tcPr>
          <w:p>
            <w:pPr>
              <w:pStyle w:val="TableContents"/>
              <w:bidi w:val="0"/>
              <w:spacing w:before="0" w:after="283"/>
              <w:jc w:val="both"/>
              <w:rPr>
                <w:b/>
                <w:sz w:val="20"/>
              </w:rPr>
            </w:pPr>
            <w:r>
              <w:rPr>
                <w:b/>
                <w:sz w:val="20"/>
              </w:rPr>
              <w:t>Exhibit</w:t>
              <w:br/>
              <w:t>No.</w:t>
            </w:r>
          </w:p>
        </w:tc>
        <w:tc>
          <w:tcPr>
            <w:tcW w:w="60" w:type="dxa"/>
            <w:tcBorders/>
            <w:tcMar>
              <w:bottom w:w="0" w:type="dxa"/>
            </w:tcMar>
            <w:vAlign w:val="center"/>
          </w:tcPr>
          <w:p>
            <w:pPr>
              <w:pStyle w:val="TableContents"/>
              <w:bidi w:val="0"/>
              <w:spacing w:before="0" w:after="283"/>
              <w:jc w:val="both"/>
              <w:rPr/>
            </w:pPr>
            <w:r>
              <w:rPr/>
              <w:t> </w:t>
            </w:r>
          </w:p>
        </w:tc>
        <w:tc>
          <w:tcPr>
            <w:tcW w:w="5825"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both"/>
              <w:rPr/>
            </w:pPr>
            <w:hyperlink w:anchor="tm2613253d1_ex99-1.htm">
              <w:r>
                <w:rPr>
                  <w:rStyle w:val="InternetLink"/>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5825" w:type="dxa"/>
            <w:tcBorders/>
            <w:tcMar>
              <w:bottom w:w="0" w:type="dxa"/>
            </w:tcMar>
            <w:vAlign w:val="center"/>
          </w:tcPr>
          <w:p>
            <w:pPr>
              <w:pStyle w:val="TableContents"/>
              <w:bidi w:val="0"/>
              <w:spacing w:before="0" w:after="283"/>
              <w:jc w:val="both"/>
              <w:rPr/>
            </w:pPr>
            <w:hyperlink w:anchor="tm2613253d1_ex99-1.htm">
              <w:r>
                <w:rPr>
                  <w:rStyle w:val="InternetLink"/>
                  <w:sz w:val="20"/>
                </w:rPr>
                <w:t>Press release, dated May 13, 2026</w:t>
              </w:r>
            </w:hyperlink>
          </w:p>
        </w:tc>
      </w:tr>
      <w:tr>
        <w:trPr/>
        <w:tc>
          <w:tcPr>
            <w:tcW w:w="66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both"/>
              <w:rPr/>
            </w:pPr>
            <w:r>
              <w:rPr/>
              <w:t> </w:t>
            </w:r>
          </w:p>
        </w:tc>
        <w:tc>
          <w:tcPr>
            <w:tcW w:w="5825" w:type="dxa"/>
            <w:tcBorders/>
            <w:tcMar>
              <w:bottom w:w="0" w:type="dxa"/>
            </w:tcMar>
            <w:vAlign w:val="center"/>
          </w:tcPr>
          <w:p>
            <w:pPr>
              <w:pStyle w:val="TableContents"/>
              <w:bidi w:val="0"/>
              <w:spacing w:before="0" w:after="283"/>
              <w:jc w:val="both"/>
              <w:rPr>
                <w:sz w:val="20"/>
              </w:rPr>
            </w:pPr>
            <w:r>
              <w:rPr>
                <w:sz w:val="20"/>
              </w:rPr>
              <w:t>Cover Page Interactive Data File (embedded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9"/>
        <w:gridCol w:w="529"/>
        <w:gridCol w:w="8377"/>
      </w:tblGrid>
      <w:tr>
        <w:trPr/>
        <w:tc>
          <w:tcPr>
            <w:tcW w:w="1299" w:type="dxa"/>
            <w:tcBorders/>
            <w:vAlign w:val="center"/>
          </w:tcPr>
          <w:p>
            <w:pPr>
              <w:pStyle w:val="TableContents"/>
              <w:bidi w:val="0"/>
              <w:spacing w:before="0" w:after="283"/>
              <w:jc w:val="left"/>
              <w:rPr/>
            </w:pPr>
            <w:r>
              <w:rPr/>
              <w:t> </w:t>
            </w:r>
          </w:p>
        </w:tc>
        <w:tc>
          <w:tcPr>
            <w:tcW w:w="8906" w:type="dxa"/>
            <w:gridSpan w:val="2"/>
            <w:tcBorders/>
            <w:vAlign w:val="center"/>
          </w:tcPr>
          <w:p>
            <w:pPr>
              <w:pStyle w:val="TableContents"/>
              <w:bidi w:val="0"/>
              <w:spacing w:before="0" w:after="283"/>
              <w:jc w:val="left"/>
              <w:rPr>
                <w:b/>
                <w:caps/>
                <w:sz w:val="20"/>
              </w:rPr>
            </w:pPr>
            <w:r>
              <w:rPr>
                <w:b/>
                <w:caps/>
                <w:sz w:val="20"/>
              </w:rPr>
              <w:t>ENERGOUS CORPORATION</w:t>
            </w:r>
          </w:p>
        </w:tc>
      </w:tr>
      <w:tr>
        <w:trPr/>
        <w:tc>
          <w:tcPr>
            <w:tcW w:w="129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8377" w:type="dxa"/>
            <w:tcBorders/>
            <w:vAlign w:val="center"/>
          </w:tcPr>
          <w:p>
            <w:pPr>
              <w:pStyle w:val="TableContents"/>
              <w:bidi w:val="0"/>
              <w:spacing w:before="0" w:after="283"/>
              <w:jc w:val="left"/>
              <w:rPr/>
            </w:pPr>
            <w:r>
              <w:rPr/>
              <w:t> </w:t>
            </w:r>
          </w:p>
        </w:tc>
      </w:tr>
      <w:tr>
        <w:trPr/>
        <w:tc>
          <w:tcPr>
            <w:tcW w:w="1299" w:type="dxa"/>
            <w:tcBorders/>
            <w:vAlign w:val="center"/>
          </w:tcPr>
          <w:p>
            <w:pPr>
              <w:pStyle w:val="TableContents"/>
              <w:bidi w:val="0"/>
              <w:spacing w:before="0" w:after="283"/>
              <w:jc w:val="left"/>
              <w:rPr>
                <w:sz w:val="20"/>
              </w:rPr>
            </w:pPr>
            <w:r>
              <w:rPr>
                <w:sz w:val="20"/>
              </w:rPr>
              <w:t>Date: May 13, 2026</w:t>
            </w:r>
          </w:p>
        </w:tc>
        <w:tc>
          <w:tcPr>
            <w:tcW w:w="529" w:type="dxa"/>
            <w:tcBorders/>
            <w:vAlign w:val="center"/>
          </w:tcPr>
          <w:p>
            <w:pPr>
              <w:pStyle w:val="TableContents"/>
              <w:bidi w:val="0"/>
              <w:spacing w:before="0" w:after="283"/>
              <w:jc w:val="left"/>
              <w:rPr>
                <w:sz w:val="20"/>
              </w:rPr>
            </w:pPr>
            <w:r>
              <w:rPr>
                <w:sz w:val="20"/>
              </w:rPr>
              <w:t>By:</w:t>
            </w:r>
          </w:p>
        </w:tc>
        <w:tc>
          <w:tcPr>
            <w:tcW w:w="837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Mallorie Burak</w:t>
            </w:r>
          </w:p>
        </w:tc>
      </w:tr>
      <w:tr>
        <w:trPr/>
        <w:tc>
          <w:tcPr>
            <w:tcW w:w="129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Name:</w:t>
            </w:r>
          </w:p>
        </w:tc>
        <w:tc>
          <w:tcPr>
            <w:tcW w:w="8377" w:type="dxa"/>
            <w:tcBorders/>
            <w:vAlign w:val="center"/>
          </w:tcPr>
          <w:p>
            <w:pPr>
              <w:pStyle w:val="TableContents"/>
              <w:bidi w:val="0"/>
              <w:spacing w:before="0" w:after="283"/>
              <w:jc w:val="left"/>
              <w:rPr>
                <w:sz w:val="20"/>
              </w:rPr>
            </w:pPr>
            <w:r>
              <w:rPr>
                <w:sz w:val="20"/>
              </w:rPr>
              <w:t>Mallorie Burak</w:t>
            </w:r>
          </w:p>
        </w:tc>
      </w:tr>
      <w:tr>
        <w:trPr/>
        <w:tc>
          <w:tcPr>
            <w:tcW w:w="129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Title:</w:t>
            </w:r>
          </w:p>
        </w:tc>
        <w:tc>
          <w:tcPr>
            <w:tcW w:w="8377" w:type="dxa"/>
            <w:tcBorders/>
            <w:vAlign w:val="center"/>
          </w:tcPr>
          <w:p>
            <w:pPr>
              <w:pStyle w:val="TableContents"/>
              <w:bidi w:val="0"/>
              <w:spacing w:before="0" w:after="283"/>
              <w:jc w:val="left"/>
              <w:rPr>
                <w:sz w:val="20"/>
              </w:rPr>
            </w:pPr>
            <w:r>
              <w:rPr>
                <w:sz w:val="20"/>
              </w:rPr>
              <w:t>Chief Executive Officer and Chief Financial Officer (Principal Executive Officer, Principal Financial Officer and Principal Accounting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pPr>
      <w:bookmarkStart w:id="23" w:name="tm2613253d1_ex99-1.htm"/>
      <w:bookmarkStart w:id="24" w:name="kstm2613253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219575"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19575" cy="1143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Energous Wireless Power Solutions Reports First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Reports Revenue of $3.1 Million</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 xml:space="preserve">Posting Fifth Consecutive Quarter of Revenue Growth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Conference Call Today at 4:30 p.m Eastern Time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JOSE, Calif. – May 13, 2026 – </w:t>
      </w:r>
      <w:r>
        <w:rPr>
          <w:rFonts w:ascii="Times New Roman;Times;Serif" w:hAnsi="Times New Roman;Times;Serif"/>
          <w:b w:val="false"/>
          <w:i w:val="false"/>
          <w:caps w:val="false"/>
          <w:smallCaps w:val="false"/>
          <w:sz w:val="20"/>
        </w:rPr>
        <w:t>Energous Corporation d/b/a Energous Wireless Power Solutions (Nasdaq: WATT) (“Energous,” the “Company,” “we,” or “our”), a pioneer in scalable, over-the-air wireless power networks, today announced financial results for the first quarter ended March 31, 2026, reporting revenue of approximately $3.1 million, representing a 1% increase versus the fourth quarter of 2025, and a 799% improvement versus the same prior year period. The Company also provided an update on recent events and Company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quarter of 2026 marked a defining moment in Energous' evolution," said Mallorie Burak, CEO and CFO of Energous. "Having successfully stabilized the business over the last two years and completed our transition from technology validation to commercial deployment, we are now scaling by growing our Fortune 10 customer programs and expanding our proof-of-concept pipeline – resulting in a fifth consecutive quarter of revenue growth. The foundation we built over the past two years is now producing results, and we believe the trajectory reflects the full potential of what wireless power networks can deliver at enterprise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Revenue for the quarter ended March 31, 2026 of approximately $3.1 million versus approximately $0.3 million in the same period in 2025, a 799% improvement over the same prior year period, and a 1% improvement over the fourth quarter of 2025, marking the fifth consecutive quarter of revenue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For the quarter ended March 31, 2026, gross profit was $1.1 million, representing a 1,077% increase versus the same prior year period. Gross margin was 36% for the three months ended March 31, 2026, reflecting our first quarter of augmented capacity utilizing our new U.S. based contract manufacturer.</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has maintained its quality performance record, with zero product returns since commercial production of its PowerBridge PRO began in 2024. Ensuring the highest level of product quality remains a key priority for the Company, as we work toward widespread adoption of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operating expenses for the first quarter of 2026 totaled $2.9 million versus $3.7 million for the same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 result of increased revenue and continued operational efficiencies, GAAP net loss and GAAP loss per share were approximately $1.7 million, or $0.43 per basic and diluted share, for the first quarter of 2026, a 51% improvement versus the net loss and loss per share of approximately $3.4 million, or $3.55 per basic and diluted share, for the first quarter of 2025.</w:t>
            </w:r>
          </w:p>
        </w:tc>
      </w:tr>
    </w:tbl>
    <w:p>
      <w:pPr>
        <w:pStyle w:val="TextBody"/>
        <w:bidi w:val="0"/>
        <w:spacing w:before="0" w:after="0"/>
        <w:ind w:left="0" w:right="0" w:hanging="0"/>
        <w:jc w:val="left"/>
        <w:rPr/>
      </w:pPr>
      <w:r>
        <w:rPr/>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Non-GAAP operating expenses</w:t>
            </w:r>
            <w:r>
              <w:rPr>
                <w:position w:val="7"/>
                <w:sz w:val="16"/>
                <w:sz w:val="20"/>
              </w:rPr>
              <w:t>1</w:t>
            </w:r>
            <w:r>
              <w:rPr>
                <w:sz w:val="20"/>
              </w:rPr>
              <w:t xml:space="preserve"> for the first quarter of 2026 were approximately $2.9 million, increasing from $2.5 million in the same prior year period, primarily due to significant non-recurring and non-cash related adjustments recorded in the first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Non-GAAP net loss</w:t>
            </w:r>
            <w:r>
              <w:rPr>
                <w:position w:val="7"/>
                <w:sz w:val="16"/>
                <w:sz w:val="20"/>
              </w:rPr>
              <w:t>1</w:t>
            </w:r>
            <w:r>
              <w:rPr>
                <w:sz w:val="20"/>
              </w:rPr>
              <w:t xml:space="preserve"> was approximately $1.6 million for the first quarter of 2026 versus non-GAAP net loss of approximately $2.5 million for the same prior year period, a 36% improvement year over year.</w:t>
            </w:r>
          </w:p>
        </w:tc>
      </w:tr>
    </w:tbl>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1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6575" w:type="dxa"/>
            <w:tcBorders/>
            <w:vAlign w:val="center"/>
          </w:tcPr>
          <w:p>
            <w:pPr>
              <w:pStyle w:val="TableContents"/>
              <w:bidi w:val="0"/>
              <w:spacing w:before="0" w:after="283"/>
              <w:jc w:val="left"/>
              <w:rPr>
                <w:sz w:val="20"/>
              </w:rPr>
            </w:pPr>
            <w:r>
              <w:rPr>
                <w:sz w:val="20"/>
              </w:rPr>
              <w:t>Approximately $36.6 million in cash and cash equivalents as of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Highlights and Updates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During the three months ended March 31, 2026, the Company raised $31.9 million of net proceeds under its at-the-market offering (ATM) program. Based upon our cash on hand at the end of the first quarter of $36.6 million coupled with collections of accounts receivable, the Company expects to meet its liquidity requirements and does not have plans to use the ATM program in the next twelve months.  The Company has not sold any shares under its ATM program since March 19,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Participation in the AWS Partner Program continues to gain momentum, with Energous earning the ISV Accelerate qualification and increasing the posted deal launches on the AWS Partner site to over fifty, as of April 30, 2026 – a launch being indicative of a customer’s issuance of a purchase order. A single customer may have multiple launches, as the enterprise expands deployments and testing across multiple use cases and locations.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Two Fortune 10 commercial deployments</w:t>
            </w:r>
            <w:r>
              <w:rPr>
                <w:b/>
                <w:sz w:val="20"/>
              </w:rPr>
              <w:t>:</w:t>
            </w:r>
            <w:r>
              <w:rPr>
                <w:sz w:val="20"/>
              </w:rPr>
              <w:t xml:space="preserve"> These are active, revenue-generating programs with leading enterprises in national retail, grocery, and e-commerce fulfillment, with the retail program targeting ~4,700 U.S. locations with over 1,500 installations completed to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International expansion: Second Fortune 10 deployment extended beyond the U.S., leveraging Energous’ EU and UK certified PowerBridge Pro, with 14+ international installations completed and approximately 35 facilities targeted for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Unmatched technology performance: In fixed enterprise environments, we are the only provider capable of delivering up to 99% asset visibility, powered by the PowerBridge PRO - the only FCC, EU, and UK certified technology at 2W conducted power. The PowerBridge PRO is uniquely rated for operation in temperatures down to -30°C, enabling reliable wireless power delivery in cold chain environments, where battery-dependent alternatives fail and regulatory compliance is mandatory.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Expanding proof-of-concept pipeline: Active structured evaluations in Quick Service Restaurant (QSR), grocery, manufacturing, and government sectors, with several programs expected to reach commercial deployment decisions in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20" w:type="dxa"/>
            <w:tcBorders/>
            <w:vAlign w:val="center"/>
          </w:tcPr>
          <w:p>
            <w:pPr>
              <w:pStyle w:val="TableContents"/>
              <w:bidi w:val="0"/>
              <w:spacing w:before="0" w:after="283"/>
              <w:jc w:val="left"/>
              <w:rPr>
                <w:sz w:val="20"/>
              </w:rPr>
            </w:pPr>
            <w:r>
              <w:rPr>
                <w:sz w:val="20"/>
              </w:rPr>
              <w:t>U.S. manufacturing expansion: Our second contract manufacturer based entirely in the United States went live in the first quarter of 2026, increasing capacity and unlocking access to enterprise customers with domestic procurement requirements and positioning Energous to pursue government and regulated-sector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Energous will be participating in a fireside chat at Planet MicroCap Las Vegas 2026 Powered by MicroCapClub on Wednesday, June 17, 2026 at 12:30pm (Pacific Time). The live presentation may be viewed via the following link: </w:t>
            </w:r>
            <w:r>
              <w:rPr>
                <w:rFonts w:ascii="Times New Roman;Times;Serif" w:hAnsi="Times New Roman;Times;Serif"/>
                <w:sz w:val="20"/>
                <w:u w:val="single"/>
              </w:rPr>
              <w:t>ENERGOUS WEBCAST</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“Non-GAAP Financial Measures” below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Enterprises are choosing wireless power networks over autonomous ambient harvesting alternatives because they need guaranteed, reliable power delivery,” added Burak, “Energous’ technology serves as the backbone of enterprise grade wireless power network infrastructure, providing the dedicated power necessary to consistently and frequently transmit data to the cloud.”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is resuming earnings calls, starting this afternoon, May 13, 2026 at 4:30 p.m. Eastern Time, to review the first quarter results and provide an update on recent corporate highlights. The call will be via webcast, and interested parties may access the call using this LINK. Information about the call and a webcast replay will be available after the conference call at ir.energous.com.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Energous Wireless Power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Energous Corporation d/b/a Energous Wireless Power Solutions (NASDAQ: WATT) is pioneering scalable, over-the-air wireless power networks that enable unprecedented levels of visibility, control, and intelligent business automation. The Company’s wireless power transmitter and receiver technologies deliver continuous access to wireless power, helping drive a new generation of battery-free devices for asset and inventory tracking and management—from retail sensors, electronic shelf labels, and asset trackers to air quality monitors, motion detectors, and more. For more information, visit </w:t>
      </w:r>
      <w:r>
        <w:rPr>
          <w:rFonts w:ascii="Times New Roman;Times;Serif" w:hAnsi="Times New Roman;Times;Serif"/>
          <w:b w:val="false"/>
          <w:i w:val="false"/>
          <w:caps w:val="false"/>
          <w:smallCaps w:val="false"/>
          <w:sz w:val="20"/>
          <w:u w:val="single"/>
        </w:rPr>
        <w:t>http://www.energous.com/</w:t>
      </w:r>
      <w:r>
        <w:rPr>
          <w:rFonts w:ascii="Times New Roman;Times;Serif" w:hAnsi="Times New Roman;Times;Serif"/>
          <w:b w:val="false"/>
          <w:i w:val="false"/>
          <w:caps w:val="false"/>
          <w:smallCaps w:val="false"/>
          <w:sz w:val="20"/>
        </w:rPr>
        <w:t xml:space="preserve"> or follow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Securities Act of 1933, as amended, the Securities Exchange Act of 1934, as amended, and the safe harbor provisions of the Private Securities Litigation Reform Act of 1995. All statements other than statements of historical fact included in this press release are forward-looking statements. Forward-looking statements may describe our future plans and expectations and are based on the current beliefs, expectations and assumptions of Energous. These statements generally use terms such as “believe,” “expect,” “may,” “will,” “should,” “could,” “seek,” “intend,” “plan,” “estimate,” “anticipate” or similar terms. Examples of forward-looking statements in this release include but are not limited to statements about our financial results, expected company growth, and operational initiatives. Factors that could cause actual results to differ from current expectations include: uncertain timing of necessary regulatory approvals; timing of customer product development and market success of customer products; our dependence on distribution partners; and intense industry competition. We urge you to consider those factors, and the other risks and uncertainties described in our most recent Annual Report on Form 10-K as filed with the Securities and Exchange Commission (SEC), any subsequently filed quarterly reports on Form 10-Q as well as in other documents that may have been subsequently filed by Energous, from time to time, with the SEC, in evaluating our forward-looking statements. In addition, any forward-looking statements represent Energous’ views only as of the date of this release and should not be relied upon as representing its views as of any subsequent date. Energous does not assume any obligation to update any forward-looking statements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in this release financial information that has not been prepared in accordance with accounting principles generally accepted in the United States of America (GAAP). We use non-GAAP financial measures internally in analyzing our financial results and believe they are useful to investors, as a supplement to GAAP measures, in evaluating our ongoing operational performance. We believe that the use of these non-GAAP financial measures provides an additional tool for investors to use in evaluating ongoing operating results and trends, and in comparing our financial results with other companies in our industry, many of which present similar non-GAAP financial measures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reported results include certain non-GAAP financial measures, including non-GAAP net loss, non-GAAP operating expenses, non-GAAP sales, marketing, general and administrative expenses (SG&amp;A) and non-GAAP research and development expenses (R&amp;D). Non-GAAP net loss excludes depreciation and amortization, stock-based compensation expense, severance expense, change in fair value of warrant liability, and expenses related to the abandonment of financing transactions. Non-GAAP operating expenses exclude depreciation and amortization, stock-based compensation expense, expenses related to the abandonment of financing transactions, and severance expenses. Non-GAAP SG&amp;A excludes depreciation and amortization and stock-based compensation expense. Non-GAAP R&amp;D excludes depreciation and amortization and stock-based compensation expense. A reconciliation of our non-GAAP financial measures to their most directly comparable GAAP measures has been provided in the financial statement tables included below in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IR@energous.com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samantha@griffin360.com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Energous Corporation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7433" w:type="dxa"/>
        <w:jc w:val="left"/>
        <w:tblInd w:w="0" w:type="dxa"/>
        <w:tblLayout w:type="fixed"/>
        <w:tblCellMar>
          <w:top w:w="0" w:type="dxa"/>
          <w:left w:w="0" w:type="dxa"/>
          <w:bottom w:w="0" w:type="dxa"/>
          <w:right w:w="0" w:type="dxa"/>
        </w:tblCellMar>
      </w:tblPr>
      <w:tblGrid>
        <w:gridCol w:w="4235"/>
        <w:gridCol w:w="60"/>
        <w:gridCol w:w="186"/>
        <w:gridCol w:w="1123"/>
        <w:gridCol w:w="80"/>
        <w:gridCol w:w="60"/>
        <w:gridCol w:w="225"/>
        <w:gridCol w:w="1369"/>
        <w:gridCol w:w="9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long-term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(411,689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Energous Corporation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283"/>
        <w:jc w:val="left"/>
        <w:rPr/>
      </w:pPr>
      <w:r>
        <w:rPr/>
        <w:t> </w:t>
      </w:r>
    </w:p>
    <w:tbl>
      <w:tblPr>
        <w:tblW w:w="7917" w:type="dxa"/>
        <w:jc w:val="left"/>
        <w:tblInd w:w="0" w:type="dxa"/>
        <w:tblLayout w:type="fixed"/>
        <w:tblCellMar>
          <w:top w:w="0" w:type="dxa"/>
          <w:left w:w="0" w:type="dxa"/>
          <w:bottom w:w="0" w:type="dxa"/>
          <w:right w:w="0" w:type="dxa"/>
        </w:tblCellMar>
      </w:tblPr>
      <w:tblGrid>
        <w:gridCol w:w="4550"/>
        <w:gridCol w:w="60"/>
        <w:gridCol w:w="208"/>
        <w:gridCol w:w="1407"/>
        <w:gridCol w:w="133"/>
        <w:gridCol w:w="99"/>
        <w:gridCol w:w="208"/>
        <w:gridCol w:w="1157"/>
        <w:gridCol w:w="9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3,082</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1,987</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from abandoned financing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2,941</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3,882,415</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948,109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Energous Corporation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561"/>
        <w:gridCol w:w="65"/>
        <w:gridCol w:w="293"/>
        <w:gridCol w:w="1284"/>
        <w:gridCol w:w="187"/>
        <w:gridCol w:w="140"/>
        <w:gridCol w:w="293"/>
        <w:gridCol w:w="1284"/>
        <w:gridCol w:w="98"/>
      </w:tblGrid>
      <w:tr>
        <w:trPr/>
        <w:tc>
          <w:tcPr>
            <w:tcW w:w="656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4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5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5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(GAAP)</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(subtract) the following items:</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expense</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from abandoned financing transaction</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non-GAAP loss</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10107" w:type="dxa"/>
            <w:gridSpan w:val="8"/>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Stock-based compensation excludes $16 which is included in severance expense for the three months ended March 31, 2025.</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(GAAP)</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2,941</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the following items:</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expense</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from abandoned financing transaction</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 operating expenses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2,857</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10107" w:type="dxa"/>
            <w:gridSpan w:val="8"/>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Stock-based compensation excludes $16 which is included in severance expense for the three months ended March 31, 2025.</w:t>
            </w:r>
          </w:p>
        </w:tc>
        <w:tc>
          <w:tcPr>
            <w:tcW w:w="98" w:type="dxa"/>
            <w:tcBorders/>
            <w:shd w:fill="FFFFFF" w:val="clear"/>
            <w:vAlign w:val="center"/>
          </w:tcPr>
          <w:p>
            <w:pPr>
              <w:pStyle w:val="TableContents"/>
              <w:bidi w:val="0"/>
              <w:spacing w:before="0" w:after="283"/>
              <w:jc w:val="left"/>
              <w:rPr/>
            </w:pPr>
            <w:r>
              <w:rPr/>
              <w:t> </w:t>
            </w:r>
          </w:p>
        </w:tc>
      </w:tr>
      <w:tr>
        <w:trPr/>
        <w:tc>
          <w:tcPr>
            <w:tcW w:w="10107" w:type="dxa"/>
            <w:gridSpan w:val="8"/>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Stock-based compensation excludes $1 which is included in cost of revenue for the three months ended March 31, 2025.</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research and development expenses (GAAP)</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the following items:</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 research and development expenses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marketing, general and administrative expenses (GAAP)</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1,927</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Subtract the following items:</w:t>
            </w:r>
          </w:p>
        </w:tc>
        <w:tc>
          <w:tcPr>
            <w:tcW w:w="65"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 sales, marketing, general and administrative expenses</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2755</Words>
  <Characters>15782</Characters>
  <CharactersWithSpaces>18841</CharactersWithSpaces>
  <Paragraphs>1070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