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ENERGOUS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001-36379</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46-1318953</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(Commission</w:t>
            </w:r>
          </w:p>
        </w:tc>
        <w:tc>
          <w:tcPr>
            <w:tcW w:w="1680" w:type="dxa"/>
            <w:vAlign w:val="bottom"/>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3590 North First Street, Suite 330</w:t>
            </w:r>
          </w:p>
        </w:tc>
        <w:tc>
          <w:tcPr>
            <w:tcW w:w="168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San Jose, California 95134</w:t>
            </w:r>
          </w:p>
        </w:tc>
        <w:tc>
          <w:tcPr>
            <w:tcW w:w="1680" w:type="dxa"/>
            <w:vAlign w:val="bottom"/>
          </w:tcPr>
          <w:p>
            <w:pPr>
              <w:spacing w:after="0"/>
              <w:rPr>
                <w:sz w:val="18"/>
                <w:szCs w:val="18"/>
                <w:color w:val="auto"/>
              </w:rPr>
            </w:pPr>
          </w:p>
        </w:tc>
      </w:tr>
      <w:tr>
        <w:trPr>
          <w:trHeight w:val="236"/>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including zip code, of principal executive offices)</w:t>
            </w:r>
          </w:p>
        </w:tc>
        <w:tc>
          <w:tcPr>
            <w:tcW w:w="168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(408) 963-0200</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45"/>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 registered</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24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WATT</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11, 2026, Energous Corporation d/b/a Energous Wireless Power Solutions (the “Company”) held its 2026 Annual Meeting of Stockholders (the “Annual Meeting”) as a virtual meeting online via live audio webcast, at which the Company’s stockholders approved an amendment and restatement of the Energous Corporation Amended and Restated 2024 Equity Incentive Plan (the “2024 Plan”). The 2024 Plan was amended to increase the number of authorized shares under the 2024 Plan by 300,000 shares. The amendment to the 2024 Plan became effective immediately upon stockholder approval at the Annual Meeting.</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summary of the material terms of the 2024 Plan is set forth in the Company’s definitive proxy statement for the Annual Meeting filed with the Securities and Exchange Commission on April 29, 2026 (the “Proxy Statement”). The summaries of the 2024 Plan set forth above and in the Proxy Statement are qualified in their entirety by reference to the full text of the 2024 Plan, a copy of which is filed as Exhibit 10.1 to this Current Report on Form 8-K and incorporated herein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was held on June 11, 2026, as a virtual meeting online via live audio webcast. At the Annual Meeting, there were 3,029,147 votes represented either in person or by proxy, or 55.06% of the votes entitled to be cast at the Annual Meeting, which represented a quorum. The Company’s stockholders voted on, and approved, the following proposals at the Annual Meeting:</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four directors to the Board of Directors to serve until the 2027 Annual Meeting of Stockholders and until their respective successors are elected and qualified.</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1,004,683</w:t>
            </w:r>
          </w:p>
        </w:tc>
        <w:tc>
          <w:tcPr>
            <w:tcW w:w="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188,310</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1,836,154</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2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1,004,109</w:t>
            </w:r>
          </w:p>
        </w:tc>
        <w:tc>
          <w:tcPr>
            <w:tcW w:w="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188,884</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1,836,154</w:t>
            </w: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1,004,537</w:t>
            </w: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188,456</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1,836,154</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1,003,859</w:t>
            </w:r>
          </w:p>
        </w:tc>
        <w:tc>
          <w:tcPr>
            <w:tcW w:w="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189,134</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1,836,154</w:t>
            </w:r>
          </w:p>
        </w:tc>
      </w:tr>
    </w:tbl>
    <w:p>
      <w:pPr>
        <w:spacing w:after="0" w:line="17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Ratification of the appointment of BPM LLP as the Company’s independent registered public accounting firm for the year ending December 31, 2026.</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9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2,832,289</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193,856</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Approval of the Energous Corporation Amended and Restated 2024 Equity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680" w:type="dxa"/>
            <w:vAlign w:val="bottom"/>
          </w:tcPr>
          <w:p>
            <w:pPr>
              <w:spacing w:after="0"/>
              <w:rPr>
                <w:sz w:val="20"/>
                <w:szCs w:val="20"/>
                <w:color w:val="auto"/>
              </w:rPr>
            </w:pPr>
          </w:p>
        </w:tc>
      </w:tr>
      <w:tr>
        <w:trPr>
          <w:trHeight w:val="209"/>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896,053</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99,667</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197,273</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333333"/>
              </w:rPr>
              <w:t>1,836,154</w:t>
            </w:r>
          </w:p>
        </w:tc>
        <w:tc>
          <w:tcPr>
            <w:tcW w:w="1680" w:type="dxa"/>
            <w:vAlign w:val="bottom"/>
          </w:tcPr>
          <w:p>
            <w:pPr>
              <w:spacing w:after="0"/>
              <w:rPr>
                <w:sz w:val="18"/>
                <w:szCs w:val="18"/>
                <w:color w:val="auto"/>
              </w:rPr>
            </w:pPr>
          </w:p>
        </w:tc>
      </w:tr>
      <w:tr>
        <w:trPr>
          <w:trHeight w:val="432"/>
        </w:trPr>
        <w:tc>
          <w:tcPr>
            <w:tcW w:w="3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9"/>
        </w:trPr>
        <w:tc>
          <w:tcPr>
            <w:tcW w:w="1140" w:type="dxa"/>
            <w:vAlign w:val="bottom"/>
            <w:tcBorders>
              <w:top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4"/>
                <w:szCs w:val="14"/>
                <w:color w:val="auto"/>
              </w:rPr>
            </w:pPr>
          </w:p>
        </w:tc>
        <w:tc>
          <w:tcPr>
            <w:tcW w:w="6200" w:type="dxa"/>
            <w:vAlign w:val="bottom"/>
            <w:tcBorders>
              <w:top w:val="single" w:sz="8" w:color="auto"/>
            </w:tcBorders>
            <w:gridSpan w:val="9"/>
          </w:tcPr>
          <w:p>
            <w:pPr>
              <w:ind w:left="100"/>
              <w:spacing w:after="0" w:line="169" w:lineRule="exact"/>
              <w:rPr>
                <w:sz w:val="20"/>
                <w:szCs w:val="20"/>
                <w:color w:val="auto"/>
              </w:rPr>
            </w:pPr>
            <w:r>
              <w:rPr>
                <w:rFonts w:ascii="Times New Roman" w:cs="Times New Roman" w:eastAsia="Times New Roman" w:hAnsi="Times New Roman"/>
                <w:sz w:val="18"/>
                <w:szCs w:val="18"/>
                <w:color w:val="0000EE"/>
              </w:rPr>
              <w:t>Energous Corporation Amended and Restated 2024 Equity Incentive Plan.</w:t>
            </w:r>
          </w:p>
        </w:tc>
        <w:tc>
          <w:tcPr>
            <w:tcW w:w="18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as Inline XBRL document)</w:t>
            </w:r>
          </w:p>
        </w:tc>
        <w:tc>
          <w:tcPr>
            <w:tcW w:w="18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75"/>
        </w:trPr>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ENERGOUS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Mallorie Burak</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Mallorie Burak</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2024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effective: June 11,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Energous Corporation sets forth herein the terms and conditions of its Amended and Restated 2024 Equity Incentive Plan,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 AND ESTABLISHMENT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Purpose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Plan is intended to enhance the Company’s and its Affiliates’ ability to attract and retain highly qualified officers, Non-Employee Directors, employees and Consultants, and to motivate such officers, Non-Employee Directors, employees and Consultants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performance share units, other share-based awards and cash awards. Any of these awards may, but need not, be made as performance incentives to reward attainment of performance goals in accordance with the terms and conditions hereof. Stock options granted under the Plan may be non-qualified stock options or incentive stock options, as provided herein.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Replacement Plan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Plan replaces the following plans of the Company: (i) the Company’s 2013 Equity Incentive Plan, (ii) the Company’s 2014 Non-Employee Equity Compensation Plan, (iii) the Company’s Performance Share Unit Plan, and (iv) the Company’s 2017 Equity Inducement Plan (the “</w:t>
      </w:r>
      <w:r>
        <w:rPr>
          <w:rFonts w:ascii="Times New Roman" w:cs="Times New Roman" w:eastAsia="Times New Roman" w:hAnsi="Times New Roman"/>
          <w:sz w:val="18"/>
          <w:szCs w:val="18"/>
          <w:b w:val="1"/>
          <w:bCs w:val="1"/>
          <w:color w:val="auto"/>
        </w:rPr>
        <w:t>Inducement Plan</w:t>
      </w:r>
      <w:r>
        <w:rPr>
          <w:rFonts w:ascii="Times New Roman" w:cs="Times New Roman" w:eastAsia="Times New Roman" w:hAnsi="Times New Roman"/>
          <w:sz w:val="18"/>
          <w:szCs w:val="18"/>
          <w:color w:val="auto"/>
        </w:rPr>
        <w:t>,” and collectively with the other plans in clauses (i) through (iii), the “</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xml:space="preserve">”). The Prior Plans shall be frozen, and no further awards may be made under the Prior Plans on or after the Effective Date (as defined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However, the Prior Plans shall continue to govern the terms and conditions of outstanding awards granted pursuant to the Prior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interpreting the Plan and related documents (including Award Agreements), the following definitions shall apply: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Acquiror”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company or other trade or business that “controls,” is “controlled by” or is “under common control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Rule 405 of Regulation C under the Securities Act, including any Subsidiary.</w:t>
      </w:r>
    </w:p>
    <w:p>
      <w:pPr>
        <w:spacing w:after="0" w:line="15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Annual Incentive Award” </w:t>
      </w:r>
      <w:r>
        <w:rPr>
          <w:rFonts w:ascii="Times New Roman" w:cs="Times New Roman" w:eastAsia="Times New Roman" w:hAnsi="Times New Roman"/>
          <w:sz w:val="18"/>
          <w:szCs w:val="18"/>
          <w:color w:val="auto"/>
        </w:rPr>
        <w:t>means a cash-based Performance Award with a performance period that is the Company’s fiscal year or other 12-month (or shorter) performance period as specified under the terms and conditions of the Award as approved by the Committee.</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a grant of an Option, SAR, RSU, Restricted Stock, Stock Award, Performance Award (including a Performance Share Unit),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Share-based Award or cash award under the Plan.</w:t>
      </w:r>
    </w:p>
    <w:p>
      <w:pPr>
        <w:spacing w:after="0" w:line="155"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Award Agreement” </w:t>
      </w:r>
      <w:r>
        <w:rPr>
          <w:rFonts w:ascii="Times New Roman" w:cs="Times New Roman" w:eastAsia="Times New Roman" w:hAnsi="Times New Roman"/>
          <w:sz w:val="18"/>
          <w:szCs w:val="18"/>
          <w:color w:val="auto"/>
        </w:rPr>
        <w:t>means a written (including electronic) agreement between the Company and a Grantee, or notice from the Company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to a Grantee that evidences and sets out the terms and conditions of an Award.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of 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be defined as that term is defined in the Grantee’s offer letter or other applicable employment agreement, or, if there is no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 “Cause” means, unless otherwise provided in the applicable Award Agreement: (i) the commission of any act by the Grantee constituting financial dishonesty against the Company or its Affiliates (which act would be chargeable as a crime under applicable law); (ii) the Grantee’s engaging in any other act of dishonesty, fraud, intentional misrepresentation, moral turpitude, illegality or harassment that would (a) materially adversely affect the business or the reputation of the Company or any of its Affiliates with their respective current or prospective customers, suppliers, lenders or other third parties with whom such entity does or might do business or (b) expose the Company or any of its Affiliates to a risk of civil or criminal legal damages, liabilities or penalties or reputational harm; (iii) the repeated failure by the Grantee to follow the directives of the Chief Executive Officer of the Company or any of its Affiliates or the Board or other person to whom the Grantee directly reports; or (iv) any material misconduct, violation of the Company’s or Affiliates’ policies or agreement to which the Grantee is subject, or willful and deliberate non-performance of duty by the Grantee in connection with the business affairs of the Company or its Affiliates.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United States Internal Revenue Code of 1986.</w:t>
      </w:r>
    </w:p>
    <w:p>
      <w:pPr>
        <w:spacing w:after="0" w:line="225" w:lineRule="exact"/>
        <w:rPr>
          <w:sz w:val="20"/>
          <w:szCs w:val="20"/>
          <w:color w:val="auto"/>
        </w:rPr>
      </w:pPr>
    </w:p>
    <w:p>
      <w:pPr>
        <w:ind w:right="2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the Compensation Committee of the Board or any committee or other person or persons designated by the Board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 the Plan. The Board will cause the Committee to satisfy the applicable requirements of any securities exchange on which the Common Stock may then be listed. For purposes of Awards to Grantees who are subject to Section 16 of the Exchange Act, Committee means all of the members of the Committee who are “non-employee directors” within the meaning of Rule 16b-3 adopted under the Exchange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Energous Corporation, a Delaware Corporation, or any successor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common stock of the Company.</w:t>
      </w:r>
    </w:p>
    <w:p>
      <w:pPr>
        <w:spacing w:after="0" w:line="22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Consultant” </w:t>
      </w:r>
      <w:r>
        <w:rPr>
          <w:rFonts w:ascii="Times New Roman" w:cs="Times New Roman" w:eastAsia="Times New Roman" w:hAnsi="Times New Roman"/>
          <w:sz w:val="18"/>
          <w:szCs w:val="18"/>
          <w:color w:val="auto"/>
        </w:rPr>
        <w:t>means a consultant or advisor that provides bona fide services to the Company or any Affiliate and who qualifies as a consultant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under Form S-8.</w:t>
      </w:r>
    </w:p>
    <w:p>
      <w:pPr>
        <w:spacing w:after="0" w:line="15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shall be defined as that term is defined in the Grantee’s offer letter or other applicable employment agreement, or, if there is no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definition, “Disability” means, unless otherwise provided in the applicable Award Agreement, the Grantee is unable to perform each of the essential duties of such Grantee’s position by reason of a medically determinable physical or mental impairment that is potentially permanent in character or that can be expected to last for a continuous period of not less than 12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rules regarding expiration of an Incentive Stock Option following termination of the Grantee’s Service, “Disability” means “permanent and total disability” as set forth in Code Section 22(e)(3).</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the Plan was initially approved by the Stockholders, which date was June 12,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2.17 “Eligible Prior Plans”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United States Securities Exchange Act of 1934.</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of a Share as of a particular date means (i) if the Common Stock is listed on a national securities exchange, the closing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price of the Common Stock on the composite tape or other comparable reporting system for the applicable date, or if the applicable date is not a trading day, the trading day immediately preceding the applicable date, or (ii) if the Common Stock is not then listed on a national securities exchange, the closing or last price of the Common Stock quoted by an established quotation service for over-the-counter securities, or (iii) if the Common Stock is not then listed on a national securities exchange or quoted by an established quotation service for over-the-counter securities, or the value of the Common Stock is not otherwise determinable, such value as determined by the Committee.</w:t>
      </w:r>
    </w:p>
    <w:p>
      <w:pPr>
        <w:spacing w:after="0" w:line="182"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means a person who is a spouse, former spouse, child, stepchild, grandchild, parent, stepparent, grandparent, niece, nephew,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50% of the beneficial interest, a foundation in which any one or more of these persons (or the applicable individual) control the management of assets, and any other entity in which one or more of these persons (or the applicable individual) own more than 50% of the voting interests.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ind w:right="16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2.21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Grant Date” </w:t>
      </w:r>
      <w:r>
        <w:rPr>
          <w:rFonts w:ascii="Times New Roman" w:cs="Times New Roman" w:eastAsia="Times New Roman" w:hAnsi="Times New Roman"/>
          <w:sz w:val="17"/>
          <w:szCs w:val="17"/>
          <w:color w:val="auto"/>
        </w:rPr>
        <w:t>means the latest to occur of (i) the date as of which the Committee approves an Award, (ii) the date on which the recipient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Award first becomes eligible to receive an Award under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or (iii) such other date as may be specified by the Committee in the Award Agreement.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Grantee” </w:t>
      </w:r>
      <w:r>
        <w:rPr>
          <w:rFonts w:ascii="Times New Roman" w:cs="Times New Roman" w:eastAsia="Times New Roman" w:hAnsi="Times New Roman"/>
          <w:sz w:val="18"/>
          <w:szCs w:val="18"/>
          <w:color w:val="auto"/>
        </w:rPr>
        <w:t>means a person who receives or holds an Award.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Incentive Stock Option” </w:t>
      </w:r>
      <w:r>
        <w:rPr>
          <w:rFonts w:ascii="Times New Roman" w:cs="Times New Roman" w:eastAsia="Times New Roman" w:hAnsi="Times New Roman"/>
          <w:sz w:val="18"/>
          <w:szCs w:val="18"/>
          <w:color w:val="auto"/>
        </w:rPr>
        <w:t>means an “incentive stock option” within the meaning of Code Section 422.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Incumbent Directors”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Inducement Plan”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Non-Employee Director” </w:t>
      </w:r>
      <w:r>
        <w:rPr>
          <w:rFonts w:ascii="Times New Roman" w:cs="Times New Roman" w:eastAsia="Times New Roman" w:hAnsi="Times New Roman"/>
          <w:sz w:val="18"/>
          <w:szCs w:val="18"/>
          <w:color w:val="auto"/>
        </w:rPr>
        <w:t>means a member of the Board or the board of directors of an Affiliate, in each case who is not an officer or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or any Affiliate.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Non-qualified Stock Option” </w:t>
      </w:r>
      <w:r>
        <w:rPr>
          <w:rFonts w:ascii="Times New Roman" w:cs="Times New Roman" w:eastAsia="Times New Roman" w:hAnsi="Times New Roman"/>
          <w:sz w:val="18"/>
          <w:szCs w:val="18"/>
          <w:color w:val="auto"/>
        </w:rPr>
        <w:t>means an Option that is not an Incentive Stock Option.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an option to purchase one or more Shares pursuant to the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Option Price” </w:t>
      </w:r>
      <w:r>
        <w:rPr>
          <w:rFonts w:ascii="Times New Roman" w:cs="Times New Roman" w:eastAsia="Times New Roman" w:hAnsi="Times New Roman"/>
          <w:sz w:val="18"/>
          <w:szCs w:val="18"/>
          <w:color w:val="auto"/>
        </w:rPr>
        <w:t>means the exercise price for each Share subject to an Option.</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Other Share-based Awards” </w:t>
      </w:r>
      <w:r>
        <w:rPr>
          <w:rFonts w:ascii="Times New Roman" w:cs="Times New Roman" w:eastAsia="Times New Roman" w:hAnsi="Times New Roman"/>
          <w:sz w:val="18"/>
          <w:szCs w:val="18"/>
          <w:color w:val="auto"/>
        </w:rPr>
        <w:t>means Awards consisting of Share units, or other Awards, valued in whole or in part by reference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Common Stock, other than Options, SARs, RSUs, Restricted Stock, Stock Awards, or Performance Share Units.</w:t>
      </w:r>
    </w:p>
    <w:p>
      <w:pPr>
        <w:spacing w:after="0" w:line="155"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Performance Award” </w:t>
      </w:r>
      <w:r>
        <w:rPr>
          <w:rFonts w:ascii="Times New Roman" w:cs="Times New Roman" w:eastAsia="Times New Roman" w:hAnsi="Times New Roman"/>
          <w:sz w:val="18"/>
          <w:szCs w:val="18"/>
          <w:color w:val="auto"/>
        </w:rPr>
        <w:t>means an Award made subject to the attainment of performance goals (as described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 over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at least one year established by the Committee, and includes an Annual Incentive Award and Performance Share Units.</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Performance Share Unit” </w:t>
      </w:r>
      <w:r>
        <w:rPr>
          <w:rFonts w:ascii="Times New Roman" w:cs="Times New Roman" w:eastAsia="Times New Roman" w:hAnsi="Times New Roman"/>
          <w:sz w:val="18"/>
          <w:szCs w:val="18"/>
          <w:color w:val="auto"/>
        </w:rPr>
        <w:t>means a bookkeeping entry reflecting the right to receive Shares or their cash equivalent subject to the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terms and conditions, including performance terms, awarded to a Grantee pursuant to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 individual, entity or group within the meaning of Section 13(d)(3) or 14(d)(2) of the Exchange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this Energous Corporation Amended and Restated 2024 Equity Incentive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2.35 “Prior Plans”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means the purchase price for each Share pursuant to a grant of Restricted Stock or a Stock Award.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means restricted Shares that are subject to specified terms and conditions, awarded to a Grantee pursuant to</w:t>
      </w:r>
      <w:r>
        <w:rPr>
          <w:rFonts w:ascii="Times New Roman" w:cs="Times New Roman" w:eastAsia="Times New Roman" w:hAnsi="Times New Roman"/>
          <w:sz w:val="18"/>
          <w:szCs w:val="18"/>
          <w:b w:val="1"/>
          <w:bCs w:val="1"/>
          <w:color w:val="auto"/>
        </w:rPr>
        <w:t xml:space="preserve"> 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Restricted Stock Unit” or “RSU” </w:t>
      </w:r>
      <w:r>
        <w:rPr>
          <w:rFonts w:ascii="Times New Roman" w:cs="Times New Roman" w:eastAsia="Times New Roman" w:hAnsi="Times New Roman"/>
          <w:sz w:val="18"/>
          <w:szCs w:val="18"/>
          <w:color w:val="auto"/>
        </w:rPr>
        <w:t>means a bookkeeping entry representing the right to receive Shares or their cash equivalent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satisfaction of specified terms and conditions, awarded to a Grantee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SAR Exercise Price” </w:t>
      </w:r>
      <w:r>
        <w:rPr>
          <w:rFonts w:ascii="Times New Roman" w:cs="Times New Roman" w:eastAsia="Times New Roman" w:hAnsi="Times New Roman"/>
          <w:sz w:val="18"/>
          <w:szCs w:val="18"/>
          <w:color w:val="auto"/>
        </w:rPr>
        <w:t>means the per Share exercise price of a SAR granted to a Grantee under</w:t>
      </w:r>
      <w:r>
        <w:rPr>
          <w:rFonts w:ascii="Times New Roman" w:cs="Times New Roman" w:eastAsia="Times New Roman" w:hAnsi="Times New Roman"/>
          <w:sz w:val="18"/>
          <w:szCs w:val="18"/>
          <w:b w:val="1"/>
          <w:bCs w:val="1"/>
          <w:color w:val="auto"/>
        </w:rPr>
        <w:t xml:space="preserve"> Section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Code Section 409A.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United States Securities Act of 1933.</w:t>
      </w:r>
    </w:p>
    <w:p>
      <w:pPr>
        <w:spacing w:after="0" w:line="225"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means the termination of a Service Provider’s Service, whether initiated by the Service Provider or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Award governed by Section 409A is to be distributed on a Separation from Service, then the definition of Separation from Service for such purposes shall comply with the definition provided in Section 409A.</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Service” </w:t>
      </w:r>
      <w:r>
        <w:rPr>
          <w:rFonts w:ascii="Times New Roman" w:cs="Times New Roman" w:eastAsia="Times New Roman" w:hAnsi="Times New Roman"/>
          <w:sz w:val="18"/>
          <w:szCs w:val="18"/>
          <w:color w:val="auto"/>
        </w:rPr>
        <w:t>means service as a Service Provider to the Company or an Affiliate. Unless otherwise provided in the applicable Award Agreement,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Grantee’s change in position or duties shall not result in interrupted or terminated Service, so long as such Grantee continues to be a Service Provider to the Company or an Affiliate.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Service Provider” </w:t>
      </w:r>
      <w:r>
        <w:rPr>
          <w:rFonts w:ascii="Times New Roman" w:cs="Times New Roman" w:eastAsia="Times New Roman" w:hAnsi="Times New Roman"/>
          <w:sz w:val="18"/>
          <w:szCs w:val="18"/>
          <w:color w:val="auto"/>
        </w:rPr>
        <w:t>means an employee, officer, Non-Employee Director or Consultant of the Company or an Affiliate.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of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 Appreciation Right” or “SAR” </w:t>
      </w:r>
      <w:r>
        <w:rPr>
          <w:rFonts w:ascii="Times New Roman" w:cs="Times New Roman" w:eastAsia="Times New Roman" w:hAnsi="Times New Roman"/>
          <w:sz w:val="18"/>
          <w:szCs w:val="18"/>
          <w:color w:val="auto"/>
        </w:rPr>
        <w:t>means a right granted to a Grantee pursuant to</w:t>
      </w:r>
      <w:r>
        <w:rPr>
          <w:rFonts w:ascii="Times New Roman" w:cs="Times New Roman" w:eastAsia="Times New Roman" w:hAnsi="Times New Roman"/>
          <w:sz w:val="18"/>
          <w:szCs w:val="18"/>
          <w:b w:val="1"/>
          <w:bCs w:val="1"/>
          <w:color w:val="auto"/>
        </w:rPr>
        <w:t xml:space="preserve"> Section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 Award” </w:t>
      </w:r>
      <w:r>
        <w:rPr>
          <w:rFonts w:ascii="Times New Roman" w:cs="Times New Roman" w:eastAsia="Times New Roman" w:hAnsi="Times New Roman"/>
          <w:sz w:val="18"/>
          <w:szCs w:val="18"/>
          <w:color w:val="auto"/>
        </w:rPr>
        <w:t>means an Award of Shares of Common Stock granted to a Grantee pursuant to</w:t>
      </w:r>
      <w:r>
        <w:rPr>
          <w:rFonts w:ascii="Times New Roman" w:cs="Times New Roman" w:eastAsia="Times New Roman" w:hAnsi="Times New Roman"/>
          <w:sz w:val="18"/>
          <w:szCs w:val="18"/>
          <w:b w:val="1"/>
          <w:bCs w:val="1"/>
          <w:color w:val="auto"/>
        </w:rPr>
        <w:t xml:space="preserve"> 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Stockholder” </w:t>
      </w:r>
      <w:r>
        <w:rPr>
          <w:rFonts w:ascii="Times New Roman" w:cs="Times New Roman" w:eastAsia="Times New Roman" w:hAnsi="Times New Roman"/>
          <w:sz w:val="18"/>
          <w:szCs w:val="18"/>
          <w:color w:val="auto"/>
        </w:rPr>
        <w:t>means a stockholder of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any “subsidiary corporation” of the Company within the meaning of Code Section 424(f).</w:t>
      </w:r>
    </w:p>
    <w:p>
      <w:pPr>
        <w:spacing w:after="0" w:line="225"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means any Award granted in assumption of or in substitution for an award of a company or business acquired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Affiliate or with which the Company or an Affiliate combines.</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Ten Percent Stockholder” </w:t>
      </w:r>
      <w:r>
        <w:rPr>
          <w:rFonts w:ascii="Times New Roman" w:cs="Times New Roman" w:eastAsia="Times New Roman" w:hAnsi="Times New Roman"/>
          <w:sz w:val="18"/>
          <w:szCs w:val="18"/>
          <w:color w:val="auto"/>
        </w:rPr>
        <w:t>means an individual who owns more than 10% of the total combined voting power of all classes of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its parent or any of its Subsidiaries. In determining stock ownership, the attribution rules of Code Section 424(d) shall be applied.</w:t>
      </w:r>
    </w:p>
    <w:p>
      <w:pPr>
        <w:spacing w:after="0" w:line="155"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tenth anniversary of the date of initial Board adoption of the Plan, unless the Plan is earlier terminated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under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Voting Securities”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ADMINISTRATION OF THE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3.1   General</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conditions of the Plan that the Board deems to be necessary or appropriate to the administration of the Plan. The Committee shall administer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shall retain the right to exercise the authority of the Committee to the extent consistent with applicable law and the applicable requirements of any securities exchange on which the Common Stock may then be listed. All actions, determinations and decisions by the Board or the Committee under the Plan, any Award or any Award Agreement shall be in the Board’s (or the Committee’s, as applicable) sole discretion and shall be final, binding and conclusive. Without limitation, the Committee shall have full and final power and authority, subject to the other terms and conditions of the Plan, to:</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designate Grantees;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determine the type or types of Awards to be made to Grantees;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determine the number of Shares to be subject to an Award;</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(iv)  establish the terms and conditions of each Award, including the Option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Stock Options;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color w:val="auto"/>
        </w:rPr>
        <w:t>(v)   prescribe the form of each Award Agreement;</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(vi)  amend, modify or supplement the terms or conditions of any outstanding Award including the authority, in order to effectuate the purposes of the Plan, to modify Awards to foreign nationals or individuals who are employed outside the United States to recognize differences in local law, tax policy or custom; and</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(vii)  interpret and construe the Plan and any Award Agreement and establish such rules and regulations as it shall determine appropriate for the proper administration of the Plan.</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To the extent permitted by applicable law, the Board or the Committee may delegate its authority as identified herein to any individual or committee of individuals (who need not be directors), including the authority to make Awards to Grantees who are not subject to Section 16 of the Exchange Act. To the extent that the Board or the Committee delegates its authority to make Awards as provided by this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all references in the Plan to the Board’s or the Committee’s authority to make Awards and determinations with respect thereto shall be deemed to include the Board’s or the Committee’s delegate. Any such delegate shall serve at the pleasure of, and may be removed at any time by, the Board or the Committee.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3.2   No Repricing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the repricing of Options or SARs is prohibited without prior approval of the Stockholders. For this purpose, a “repricing” means any of the following (or any other action that has the same effect as any of the following): (i) changing the terms of an Option or SAR to lower its Option Price or SAR Exercise Price; (ii) any other action that is treated as a “repricing” under generally accepted accounting principles; and (iii) repurchasing for cash or canceling an Option or SAR at a time when its Option Price or SAR Exercise Price is greater than the Fair Market Value of the underlying Shares in exchange for another award, unless the cancellation and exchange occurs in connection with a change in capitalization or similar change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A cancellation and exchange under clause (iii) would be considered a “repricing” regardless of whether it is treated as a “repricing” under generally accepted accounting principles and regardless of whether it is voluntary on the part of the Grantee.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3.3   Award Agreements; Clawbacks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grant of any Award may be contingent upon the Grantee executing the appropriate Award Agreement. 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terminated for Cause.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All awards, amounts or benefits received or outstanding under the Plan shall be subject to clawback, cancellation, recoupment, rescission, payback, reduction or other similar action in accordance with the terms of any Company clawback or similar policy or any applicable law related to such actions, as may be in effect from time to time. A Grantee’s acceptance of an Award shall be deemed to constitute (i) the Grantee’s acknowledgement of and consent to the Company’s application, implementation and enforcement of any applicable Company clawback or similar policy that may apply to the Grantee, whether adopted prior to or following the Effective Date, and any provision of applicable law relating to clawback, cancellation, recoupment, rescission, payback or reduction of compensation, and (ii) the Grantee’s agreement that the Company may take such actions as may be necessary to effectuate any such policy or applicable law, without further consideration or action.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3.4   Trading Policy and Other Restrictions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Transactions involving Awards are subject to the Company’s insider trading policy and other restrictions, terms, conditions and policies, as may be established by the Company (including the Board or a committee of the Board) from time to time or as may be required by applicable law.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3.5   Deferral Arrangement</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Committee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Share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b w:val="1"/>
          <w:bCs w:val="1"/>
          <w:color w:val="auto"/>
        </w:rPr>
        <w:t>3.6   Change in Service; Leave of Absence</w:t>
      </w:r>
    </w:p>
    <w:p>
      <w:pPr>
        <w:spacing w:after="0" w:line="229"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Subject to applicable law, the Company’s chief human resources officer or other person performing that function shall be authorized to determine the effect on Awards of a Grantee’s leave of absence or change in hours of employment or service. Notwithstanding the foregoing, any such determinations made with respect to individuals subject to reporting with the SEC under Section 16 of the Exchange Act shall be made by the Committee.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3.7   No Liability</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 member of the Board or of the Committee shall be liable for any action or determination made in good faith with respect to the Plan, any Award or Award Agreement.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3.8   Book Entry</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the Company may elect to satisfy any requirement under the Plan for the delivery of stock certificates through the use of book entry.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 SUBJECT TO THE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4.1   Authorized Number of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Subject to adjustment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the aggregate number of Shares authorized to be issued under the Plan 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381,866 Shares; plus</w:t>
      </w:r>
    </w:p>
    <w:p>
      <w:pPr>
        <w:spacing w:after="0" w:line="225" w:lineRule="exact"/>
        <w:rPr>
          <w:sz w:val="20"/>
          <w:szCs w:val="20"/>
          <w:color w:val="auto"/>
        </w:rPr>
      </w:pPr>
    </w:p>
    <w:p>
      <w:pPr>
        <w:ind w:left="340" w:right="200" w:firstLine="324"/>
        <w:spacing w:after="0" w:line="266" w:lineRule="auto"/>
        <w:rPr>
          <w:sz w:val="20"/>
          <w:szCs w:val="20"/>
          <w:color w:val="auto"/>
        </w:rPr>
      </w:pPr>
      <w:r>
        <w:rPr>
          <w:rFonts w:ascii="Times New Roman" w:cs="Times New Roman" w:eastAsia="Times New Roman" w:hAnsi="Times New Roman"/>
          <w:sz w:val="18"/>
          <w:szCs w:val="18"/>
          <w:color w:val="auto"/>
        </w:rPr>
        <w:t>(ii)  any Shares previously authorized under the Prior Plans, other than any Shares authorized under the Inducement Plan (such Prior Plans, excluding the Inducement Plan, the “</w:t>
      </w:r>
      <w:r>
        <w:rPr>
          <w:rFonts w:ascii="Times New Roman" w:cs="Times New Roman" w:eastAsia="Times New Roman" w:hAnsi="Times New Roman"/>
          <w:sz w:val="18"/>
          <w:szCs w:val="18"/>
          <w:b w:val="1"/>
          <w:bCs w:val="1"/>
          <w:color w:val="auto"/>
        </w:rPr>
        <w:t>Eligible Prior Plans</w:t>
      </w:r>
      <w:r>
        <w:rPr>
          <w:rFonts w:ascii="Times New Roman" w:cs="Times New Roman" w:eastAsia="Times New Roman" w:hAnsi="Times New Roman"/>
          <w:sz w:val="18"/>
          <w:szCs w:val="18"/>
          <w:color w:val="auto"/>
        </w:rPr>
        <w:t>”) that, on the Effective Date, have not been granted under the Eligible Prior Plans and are not, as of the Effective Date, subject to outstanding awards thereunder; plus</w:t>
      </w:r>
    </w:p>
    <w:p>
      <w:pPr>
        <w:spacing w:after="0" w:line="176" w:lineRule="exact"/>
        <w:rPr>
          <w:sz w:val="20"/>
          <w:szCs w:val="20"/>
          <w:color w:val="auto"/>
        </w:rPr>
      </w:pPr>
    </w:p>
    <w:p>
      <w:pPr>
        <w:ind w:left="340" w:right="3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(iii)  any Shares subject to outstanding awards under the Eligible Prior Plans that, on or after the Effective Date, subsequently lapse, expire, terminate or are canceled prior to the issuance of Shares thereunder, which Shares shall cease to set aside or reserved for issuance pursuant to the applicable Eligible Prior Plan on the date on which they cease to be subject to such awards and shall instead be set aside and reserved for issuance pursuant to Awards under the Plan; the aggregate maximum number of Shares that may become available for grant from the Eligible Prior Plans pursuant to clauses (ii) and (iii) of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is 9,656.</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Shares issued under the Plan may consist in whole or in part of authorized but unissued Shares, treasury Shares or Shares purchased on the open market or otherwise, all as may be determined by the Board from time to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4.2   Share Counting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4.2.1.   General</w:t>
      </w:r>
    </w:p>
    <w:p>
      <w:pPr>
        <w:spacing w:after="0" w:line="225" w:lineRule="exact"/>
        <w:rPr>
          <w:sz w:val="20"/>
          <w:szCs w:val="20"/>
          <w:color w:val="auto"/>
        </w:rPr>
      </w:pPr>
    </w:p>
    <w:p>
      <w:pPr>
        <w:ind w:left="340" w:right="260" w:firstLine="324"/>
        <w:spacing w:after="0" w:line="286" w:lineRule="auto"/>
        <w:rPr>
          <w:sz w:val="20"/>
          <w:szCs w:val="20"/>
          <w:color w:val="auto"/>
        </w:rPr>
      </w:pPr>
      <w:r>
        <w:rPr>
          <w:rFonts w:ascii="Times New Roman" w:cs="Times New Roman" w:eastAsia="Times New Roman" w:hAnsi="Times New Roman"/>
          <w:sz w:val="18"/>
          <w:szCs w:val="18"/>
          <w:color w:val="auto"/>
        </w:rPr>
        <w:t xml:space="preserve">Each Share granted in connection with an Award shall be counted as one Share against the limit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4.2.2.   Cash-Settled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Award paid or settled in cash shall not be counted as issued Shares for any purpose under the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4.2.3.   Expired or Terminated Awards</w:t>
      </w:r>
    </w:p>
    <w:p>
      <w:pPr>
        <w:spacing w:after="0" w:line="229" w:lineRule="exact"/>
        <w:rPr>
          <w:sz w:val="20"/>
          <w:szCs w:val="20"/>
          <w:color w:val="auto"/>
        </w:rPr>
      </w:pPr>
    </w:p>
    <w:p>
      <w:pPr>
        <w:ind w:left="340" w:firstLine="324"/>
        <w:spacing w:after="0" w:line="266" w:lineRule="auto"/>
        <w:rPr>
          <w:sz w:val="20"/>
          <w:szCs w:val="20"/>
          <w:color w:val="auto"/>
        </w:rPr>
      </w:pPr>
      <w:r>
        <w:rPr>
          <w:rFonts w:ascii="Times New Roman" w:cs="Times New Roman" w:eastAsia="Times New Roman" w:hAnsi="Times New Roman"/>
          <w:sz w:val="18"/>
          <w:szCs w:val="18"/>
          <w:color w:val="auto"/>
        </w:rPr>
        <w:t>If any Award expires, or is terminated, surrendered or forfeited, in whole or in part, the unissued Shares covered by such Award shall again be available for the grant of Awards. Any Shares under a Restricted Stock Award that are repurchased or forfeited to the Company shall similarly again be available for the grant of Awards.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4.2.4.   Payment of Option Price or Tax Withholding in Shares</w:t>
      </w:r>
    </w:p>
    <w:p>
      <w:pPr>
        <w:spacing w:after="0" w:line="229" w:lineRule="exact"/>
        <w:rPr>
          <w:sz w:val="20"/>
          <w:szCs w:val="20"/>
          <w:color w:val="auto"/>
        </w:rPr>
      </w:pPr>
    </w:p>
    <w:p>
      <w:pPr>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Shares issuable upon exercise, vesting or settlement of an Award, or Shares owned by a Grantee (which 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shall not again be available for the grant of Awards. For a stock-settled SAR, the gross number of Shares for which the SAR is exercised shall be counted against the limit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4.2.5.   Substitute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Substitute Awards shall not be counted against the number of Shares reserved under the Plan.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4.3   Award Limits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4.3.1.   Incentive Stock Options</w:t>
      </w:r>
    </w:p>
    <w:p>
      <w:pPr>
        <w:spacing w:after="0" w:line="225" w:lineRule="exact"/>
        <w:rPr>
          <w:sz w:val="20"/>
          <w:szCs w:val="20"/>
          <w:color w:val="auto"/>
        </w:rPr>
      </w:pPr>
    </w:p>
    <w:p>
      <w:pPr>
        <w:ind w:left="340" w:right="340" w:firstLine="324"/>
        <w:spacing w:after="0" w:line="286" w:lineRule="auto"/>
        <w:rPr>
          <w:sz w:val="20"/>
          <w:szCs w:val="20"/>
          <w:color w:val="auto"/>
        </w:rPr>
      </w:pPr>
      <w:r>
        <w:rPr>
          <w:rFonts w:ascii="Times New Roman" w:cs="Times New Roman" w:eastAsia="Times New Roman" w:hAnsi="Times New Roman"/>
          <w:sz w:val="18"/>
          <w:szCs w:val="18"/>
          <w:color w:val="auto"/>
        </w:rPr>
        <w:t xml:space="preserve">Subject to adjustment under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15,200 Shares available for issuance under the Plan shall be available for issuance as Incentive Stock Options.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4.3.2.   Individual Award Limits for Cash-Based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maximum amount of cash-based Performance Awards that may be granted to any Grantee in any calendar year shall not exceed the following:</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Annual Incentive Awards: $1.0 million; and (ii) all other cash-based Performance Awards: $1.0 million.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4.3.3.   Limits on Awards to Non-Employee Directors</w:t>
      </w:r>
    </w:p>
    <w:p>
      <w:pPr>
        <w:spacing w:after="0" w:line="229" w:lineRule="exact"/>
        <w:rPr>
          <w:sz w:val="20"/>
          <w:szCs w:val="20"/>
          <w:color w:val="auto"/>
        </w:rPr>
      </w:pPr>
    </w:p>
    <w:p>
      <w:pPr>
        <w:ind w:left="340" w:right="40" w:firstLine="324"/>
        <w:spacing w:after="0" w:line="272" w:lineRule="auto"/>
        <w:rPr>
          <w:sz w:val="20"/>
          <w:szCs w:val="20"/>
          <w:color w:val="auto"/>
        </w:rPr>
      </w:pPr>
      <w:r>
        <w:rPr>
          <w:rFonts w:ascii="Times New Roman" w:cs="Times New Roman" w:eastAsia="Times New Roman" w:hAnsi="Times New Roman"/>
          <w:sz w:val="17"/>
          <w:szCs w:val="17"/>
          <w:color w:val="auto"/>
        </w:rPr>
        <w:t>The maximum value of Awards granted during any calendar year to any Non-Employee Director, taken together with any cash fees paid to such Non-Employee Director during the calendar year and the value of awards granted to the Non-Employee Director under any other equity compensation plan of the Company or an Affiliate during the calendar year, shall not exceed the following in total value: (i) $500,000 for the Chair of the Board and</w:t>
      </w:r>
    </w:p>
    <w:p>
      <w:pPr>
        <w:spacing w:after="0" w:line="2" w:lineRule="exact"/>
        <w:rPr>
          <w:sz w:val="20"/>
          <w:szCs w:val="20"/>
          <w:color w:val="auto"/>
        </w:rPr>
      </w:pPr>
    </w:p>
    <w:p>
      <w:pPr>
        <w:ind w:left="340" w:right="100" w:hanging="8"/>
        <w:spacing w:after="0" w:line="252" w:lineRule="auto"/>
        <w:tabs>
          <w:tab w:leader="none" w:pos="6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$300,000 for each Non-Employee Director other than the Chair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awards granted to Non-Employee Directors upon their initial election to the Board or the board of directors of an Affiliate shall not be counted towards the limit under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xml:space="preserve">. Any Awards or other equity compensation plan awards that are scheduled to vest over a period of more than one calendar year shall be applied pro rata for purposes of the limit under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xml:space="preserve"> based on the number of years over which such awards are scheduled to vest. For purposes of this </w:t>
      </w:r>
      <w:r>
        <w:rPr>
          <w:rFonts w:ascii="Times New Roman" w:cs="Times New Roman" w:eastAsia="Times New Roman" w:hAnsi="Times New Roman"/>
          <w:sz w:val="18"/>
          <w:szCs w:val="18"/>
          <w:b w:val="1"/>
          <w:bCs w:val="1"/>
          <w:color w:val="auto"/>
        </w:rPr>
        <w:t>Section 4.3.3</w:t>
      </w:r>
      <w:r>
        <w:rPr>
          <w:rFonts w:ascii="Times New Roman" w:cs="Times New Roman" w:eastAsia="Times New Roman" w:hAnsi="Times New Roman"/>
          <w:sz w:val="18"/>
          <w:szCs w:val="18"/>
          <w:color w:val="auto"/>
        </w:rPr>
        <w:t>, the value of any Awards shall be calculated based on the average of the closing trading prices of the Common Stock on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for such Common Stock during the 30 consecutive trading days immediately preceding the date the Award is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EFFECTIVE DATE, DURATION AND AMENDMENTS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5.1   Term</w:t>
      </w:r>
    </w:p>
    <w:p>
      <w:pPr>
        <w:spacing w:after="0" w:line="227"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Plan shall be effective as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has been approved by the Stockholders. The Plan shall terminate automatically on the Termination Date and may be terminated on any earlier date as provided in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5.2   Amendment and Termination of the Plan</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Board may, at any time and from time to time, amend, suspend or terminate the Plan as to any Awards that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and conditions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 provided that the Awards may be amended without the consent of the Grantee to comply with applicable law or to clarify the manner of exemption from, or to bring an Award into compliance with, Section 409A.</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AWARD ELIGIBILITY AND LIMITATIONS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6.1   Service Providers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Awards may be made to any Service Provider as the Committee may determine and designate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6.2   Successive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eligible person may receive more than one Award, subject to such restrictions as are provided herein.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6.3   Stand-Alone, Additional, Tandem, and Substitute Awards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Awards may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or substitute or exchange Awards may be granted at any time. If an Award is granted in substitution or exchange for another award, the Committee shall have the right to require the surrender of such other award in consideration for the grant of the new Award. Subject to the requirements of applicable law, the Committee may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Shares subject to the Award is equivalent in value to the cash compensation (for example, RSUs or Restricted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AWARD AGREEMENT</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grant of any Award may be contingent upon the Grantee executing an appropriate Award Agreement, in such form or forms as the Committee shall from time to time determine. Without limiting the foregoing, an Award Agreement may be provided in the form of a notice that provides that acceptance of the Award constitutes acceptance of all terms and conditions of the Plan and the notice. Award Agreements granted from time to time or at the same time need not contain similar provisions but shall be consistent with the terms and conditions of the Plan. The Company has no obligation for uniformity of treatment of Grantees under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TERMS AND CONDITIONS OF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8.1   Option Price</w:t>
      </w:r>
    </w:p>
    <w:p>
      <w:pPr>
        <w:spacing w:after="0" w:line="22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Option Price of each Option shall be fixed by the Committee and stated in the related Award Agreement. The Option Price of each Option (except those that constitute Substitute Awards) shall be at least the Fair Market Value on the Grant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that a Grantee is a Ten Percent Stockholder as of the Grant Date, the Option Price of an Option granted to such Grantee that is intended to be an Incentive Stock Option shall be not less than 110% of the Fair Market Value on the Grant Date. In no case shall the Option Price of any Option be less than the par value of a Share.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8.2   Vesting</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8.3</w:t>
      </w:r>
      <w:r>
        <w:rPr>
          <w:rFonts w:ascii="Times New Roman" w:cs="Times New Roman" w:eastAsia="Times New Roman" w:hAnsi="Times New Roman"/>
          <w:sz w:val="18"/>
          <w:szCs w:val="18"/>
          <w:color w:val="auto"/>
        </w:rPr>
        <w:t>, each Option shall become exercisable at such times and under such conditions (including performance requirements) as stated in the Award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color w:val="auto"/>
        </w:rPr>
        <w:t>8.3   Term</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Each Option shall terminate, and all rights to purchase Shares thereunder shall cease 10 years from the Grant Date, or under such circumstances and on such date prior thereto as is set forth in the Plan or as may be fixed by the Committee and stated in the related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8.4   Limitations on Exercise of Option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in no event may any Option be exercised, in whole or in part, (i) prior to the date the Plan is approved by the Stockholders as provided herein or (ii) after the occurrence of an event that results in termination of the Option.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8.5   Method of Exercise</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An Option that is exercisable may be exercised by the Grantee’s delivery of a notice of exercise to the Company, setting forth the number of Shares with respect to which the Option is to be exercised, accompanied by full payment for the Shares. To be effective, notice of exercise must be made in accordance with procedures established by the Company from time to time.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8.6   Rights of Holders of Options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provided in the applicable Award Agreement, an individual holding or exercising an Option shall have none of the rights of a Stockholder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or the related Award Agreement, no adjustment shall be made for dividends, distributions or other rights for which the record date is prior to the date of such issuance.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8.7   Delivery of Stock Certificates</w:t>
      </w:r>
    </w:p>
    <w:p>
      <w:pPr>
        <w:spacing w:after="0" w:line="225"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promptly after the exercise of an Option by a Grantee and the payment in full of the Option Price and applicable tax withholding, such Grantee shall be entitled to the issuance of a stock certificate or certificates evidencing his or her ownership of the Shares subject to the Option.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8.8   Limitations on Incentive 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Option shall constitute an Incentive Stock Option only (i) if the Grantee is an employee of the Company or any Subsidiary as of the Grant Date,</w:t>
      </w:r>
    </w:p>
    <w:p>
      <w:pPr>
        <w:spacing w:after="0" w:line="27" w:lineRule="exact"/>
        <w:rPr>
          <w:sz w:val="20"/>
          <w:szCs w:val="20"/>
          <w:color w:val="auto"/>
        </w:rPr>
      </w:pPr>
    </w:p>
    <w:p>
      <w:pPr>
        <w:ind w:right="22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in the related Award Agreement and (iii) to the extent that the aggregate Fair Market Value (determined at the time the Option is granted)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TERMS AND CONDITIONS OF STOCK APPRECIATION RIGHTS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9.1   Right to Payment</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SAR shall confer on the Grantee a right to receive, upon exercise thereof, the excess of (i) the Fair Market Value on the date of exercise over (ii) the SAR Exercise Price, as determined by the Committee. The Award Agreement for a SAR (except those that constitute Substitute Awards) shall specify the SAR Exercise Price, which shall be fixed on the Grant Date as not less than the Fair Market Value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SAR’s grant price may not be less than the Fair Market Value on the Grant Date of the SAR to the extent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409A.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b w:val="1"/>
          <w:bCs w:val="1"/>
          <w:color w:val="auto"/>
        </w:rPr>
        <w:t>9.2   Other Terms</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Committee shall determine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9.3   Term of SARs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term of a SAR shall be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 shall not exceed 10 years.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9.4   Payment of SAR Amount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exercise of a SAR, a Grantee shall be entitled to receive payment from the Company (in cash or Shares, as determined by the Committee) in an amount determined by multiplying (i) the difference between the Fair Market Value on the date of exercise over the SAR Exercise Price; by (ii) the number of Shares with respect to which the SAR is exercised.</w:t>
      </w:r>
    </w:p>
    <w:p>
      <w:pPr>
        <w:spacing w:after="0" w:line="172" w:lineRule="exact"/>
        <w:rPr>
          <w:sz w:val="20"/>
          <w:szCs w:val="20"/>
          <w:color w:val="auto"/>
        </w:rPr>
      </w:pPr>
    </w:p>
    <w:p>
      <w:pPr>
        <w:ind w:left="340" w:right="1980" w:hanging="332"/>
        <w:spacing w:after="0" w:line="503"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STOCK AWARDS, RESTRICTED STOCK AND RESTRICTED STOCK UNITS 10.1  Restrictions</w:t>
      </w: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The Committee may grant Stock Awards, Restricted Stock and Restricted Stock Units on such terms and conditions as the Committee shall determine in its sole discretion. At the time of grant, the Committee may establish a period of time (a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and any additional restrictions including the satisfaction of corporate or individual performance objectives applicable to an Award of Restricted Stock or RSUs. Each Award of Restricted Stock or RSUs may be subject to a different Restricted Period and additional restrictions. Neither Restricted Stock nor RSUs may be sold, transferred, assigned, pledged or otherwise encumbered or disposed of during the Restricted Period or prior to the satisfaction of any other applicable restrictions.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10.2   Restricted Stock Certificates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issue Shares, in the name of each Grantee to whom a Stock Award or Restricted Stock has been granted, stock certificates or other evidence of ownership representing the total number of Shares under the Award granted to the Grantee, as soon as reasonably practicable after the Grant Date. The Committee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certificates shall bear a legend or legends that comply with the applicable securities laws and regulations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reference to the restrictions imposed under the Plan and the Award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10.3   Rights of Holders of Restricted Stock</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Unless the otherwise provided in the applicable Award Agreement, holders of Stock Awards and Restricted Stock shall have rights as Stockholders, including voting and dividend rights.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10.4   Rights of Holders of RSUs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10.4.1.   Settlement of RSUs</w:t>
      </w:r>
    </w:p>
    <w:p>
      <w:pPr>
        <w:spacing w:after="0" w:line="229"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RSUs may be settled in cash, in Shares or in a combination thereof, as determined by the Committee and set forth in the Award Agreement. The Award Agreement shall also set forth whether the RSUs shall be settled (i) within the time period specified for “short term deferrals” under Section 409A or</w:t>
      </w:r>
    </w:p>
    <w:p>
      <w:pPr>
        <w:spacing w:after="0" w:line="1"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within the requirements of Section 409A, in which case the Award Agreement shall specify upon which events such RSUs shall be settled.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color w:val="auto"/>
        </w:rPr>
        <w:t>10.4.2.   Voting and Dividend Rights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Award Agreement, holders of RSUs shall not have rights as Stockholders, including voting or dividend or dividend equivalents rights.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10.5   Purchase of Restricted Stock</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Grantee shall be required, to the extent required by applicable law, to purchase Shares under a Stock Award or an Award of Restricted Stock from the Company at a Purchase Price equal to the greater of (i) the aggregate par value of the Shares subject to such Award or (ii) the Purchase Price, if any, specified in the related Award Agreement. If specified in the Award Agreement, the Purchase Price may be deemed paid by Services already rendered. The Purchase Price shall be payable in a form described in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or, if so determined by the Committee, in consideration for past Services rendered.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10.6   Delivery of Shares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Upon the expiration or termination of any Restricted Period and the satisfaction of any other conditions prescribed by the Committee, the restrictions applicable to Shares of Restricted Stock or RSUs settled in Shares shall lapse, and, unless otherwise provided in the applicable Award Agreement, a stock certificate for such Shares shall be delivered, free of all such restrictions, to the Grantee or the Grantee’s beneficiary or estate, as the case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FORM OF PAYMENT FOR OPTIONS, STOCK AWARDS AND RESTRICTED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11.1   General Rule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Payment of the Option Price for the Shares purchased pursuant to the exercise of an Option or the Purchase Price for a Stock Award or Restricted Stock shall be made in cash or in cash equivalents acceptable to the Company, except as provided in this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11.2   Surrender of Shares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To the extent the Award Agreement so provides, payment of the Option Price for Shares purchased pursuant to the exercise of an Option or the Purchase Price for a Stock Award or Restricted Stock may be made all or in part through the tender to the Company of Shares, which Shares shall be valued, for purposes of determining the extent to which the Option Price or the Purchase Price for a Stock Award or Restricted Stock has been paid, at their Fair Market Value on the date of exercise or surrender. Notwithstanding the foregoing, in the case of an Incentive Stock Option, the right to make payment in the form of already-owned Shares may be authorized only at the time of grant.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11.3   Cashless Exercise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and to deliver all or part of the sales proceeds to the Company in payment of the Option Price and any withholding taxes described in </w:t>
      </w:r>
      <w:r>
        <w:rPr>
          <w:rFonts w:ascii="Times New Roman" w:cs="Times New Roman" w:eastAsia="Times New Roman" w:hAnsi="Times New Roman"/>
          <w:sz w:val="18"/>
          <w:szCs w:val="18"/>
          <w:b w:val="1"/>
          <w:bCs w:val="1"/>
          <w:color w:val="auto"/>
        </w:rPr>
        <w:t>Section 17.3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11.4   Other Forms of Payment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 the extent the Award Agreement so provides, payment of the Option Price or the Purchase Price for Restricted Stock may be made in any other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that is consistent with applicable laws, regulations and rules, including the Company’s withholding of Shares otherwise due to the exercising Grantee.</w:t>
      </w:r>
    </w:p>
    <w:p>
      <w:pPr>
        <w:spacing w:after="0" w:line="203" w:lineRule="exact"/>
        <w:rPr>
          <w:sz w:val="20"/>
          <w:szCs w:val="20"/>
          <w:color w:val="auto"/>
        </w:rPr>
      </w:pPr>
    </w:p>
    <w:p>
      <w:pPr>
        <w:ind w:left="340" w:right="2460" w:hanging="332"/>
        <w:spacing w:after="0" w:line="503"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PERFORMANCE SHARE UNITS AND OTHER PERFORMANCE AWARDS 12.1  Performance Conditions</w:t>
      </w: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right of a Grantee to exercise or receive a grant or settlement of any Award, and the timing thereof, may be subject to such performance conditions during a prescribed performance period as may be specified by the Committee. The Committee may use such business criteria and other measures of performance as it may deem appropriate in establishing any performance conditions.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b w:val="1"/>
          <w:bCs w:val="1"/>
          <w:color w:val="auto"/>
        </w:rPr>
        <w:t>12.2   Performance Goals Generally</w:t>
      </w:r>
    </w:p>
    <w:p>
      <w:pPr>
        <w:spacing w:after="0" w:line="229"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 xml:space="preserve">The performance goals for Performance Share Units and other Performance Awards shall consist of one or more business criteria and a targeted level or levels of performance with respect to each of such criteria, as specified by the Committee consistent with this </w:t>
      </w:r>
      <w:r>
        <w:rPr>
          <w:rFonts w:ascii="Times New Roman" w:cs="Times New Roman" w:eastAsia="Times New Roman" w:hAnsi="Times New Roman"/>
          <w:sz w:val="17"/>
          <w:szCs w:val="17"/>
          <w:b w:val="1"/>
          <w:bCs w:val="1"/>
          <w:color w:val="auto"/>
        </w:rPr>
        <w:t>Section 12.2</w:t>
      </w:r>
      <w:r>
        <w:rPr>
          <w:rFonts w:ascii="Times New Roman" w:cs="Times New Roman" w:eastAsia="Times New Roman" w:hAnsi="Times New Roman"/>
          <w:sz w:val="17"/>
          <w:szCs w:val="17"/>
          <w:color w:val="auto"/>
        </w:rPr>
        <w:t xml:space="preserve">. The Committee may determine that Performance Awards shall be granted, exercised and/or settled upon achievement of any one performance goal or that two or more of the performance goals must be achieved as a condition to grant, exercise and/or settlement of the Performance Share Awards and other Performance Awards. Performance goals may be established on a Company-wide basis, or with respect to one or more business units, divisions, Affiliates or business segments, as applicable. Performance goals may be absolute or relative (to the performance of one or more comparable companies or indices). The Committee may determine at the time that goals under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are established the extent to which measurement of performance goals may exclude the impact of charges for restructuring, discontinued operations, extraordinary items, debt redemption or retirement, asset write downs, litigation or claim judgments or settlements, acquisitions or divestitures, foreign exchange gains and losses and other extraordinary, unusual, infrequently occurring or non-recurring items, and the cumulative effects of tax or accounting changes (each as defined by generally accepted accounting principles and as identified in the Company’s financial statements or other SEC filings). Performance goals may differ for Performance Awards granted to any one Grantee or to different Grantees.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12.3   Business Criteria</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One or more of the following business criteria for the Company, on a consolidated basis, and/or specified Affiliates or business units of the Company (except with respect to the total stockholder return and earnings per share criteria), may be used by the Committee in establishing performance goals for Performance Awards: (i) cash flow; (ii) earnings per share, as adjusted for any stock split, stock dividend or other recapitalization; (iii) earnings measures (including EBIT and EBITDA)); (iv) return on equity; (v) total stockholder return; (vi) share price performance, as adjusted for any stock split, stock dividend or other recapitalization; (vii) return on capital; (viii) revenue; (ix) income; (x) profit margin; (xi) return on operating revenue; (xii) brand recognition or acceptance; (xiii) customer metrics (including customer satisfaction, customer retention, customer profitability or customer contract terms); (xiv) productivity; (xv) expense targets; (xvi) market share; (xvii) cost control measures; (xviii) balance sheet metrics; (xix) strategic initiatives;</w:t>
      </w:r>
    </w:p>
    <w:p>
      <w:pPr>
        <w:spacing w:after="0" w:line="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completion or attainment of measurable objectives with respect to recruitment or retention of personnel or employee satisfaction;</w:t>
      </w:r>
    </w:p>
    <w:p>
      <w:pPr>
        <w:spacing w:after="0" w:line="9" w:lineRule="exact"/>
        <w:rPr>
          <w:rFonts w:ascii="Times New Roman" w:cs="Times New Roman" w:eastAsia="Times New Roman" w:hAnsi="Times New Roman"/>
          <w:sz w:val="18"/>
          <w:szCs w:val="18"/>
          <w:color w:val="auto"/>
        </w:rPr>
      </w:pPr>
    </w:p>
    <w:p>
      <w:pPr>
        <w:ind w:firstLine="8"/>
        <w:spacing w:after="0" w:line="265" w:lineRule="auto"/>
        <w:tabs>
          <w:tab w:leader="none" w:pos="3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assets; (xxii) growth in net sales; (xxiii) the ratio of net sales to net working capital; (xxiv) stockholder value added; (xxv) improvement in management of working capital items (inventory, accounts receivable or accounts payable); (xxvi) sales from newly-introduced products; (xxvii) successful completion of, or achievement of milestones or objectives related to, financing or capital raising transactions, strategic acquisitions or divestitures, joint ventures, partnerships, collaborations or other transactions; (xxviii) product quality, safety, productivity, yield or reliability (on time and complete orders);</w:t>
      </w: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(xxx) regulatory body approval for commercialization of a product; (xxxi) debt levels or reduction or debt ratios;</w:t>
      </w:r>
    </w:p>
    <w:p>
      <w:pPr>
        <w:spacing w:after="0" w:line="9" w:lineRule="exact"/>
        <w:rPr>
          <w:rFonts w:ascii="Times New Roman" w:cs="Times New Roman" w:eastAsia="Times New Roman" w:hAnsi="Times New Roman"/>
          <w:sz w:val="18"/>
          <w:szCs w:val="18"/>
          <w:color w:val="auto"/>
        </w:rPr>
      </w:pPr>
    </w:p>
    <w:p>
      <w:pPr>
        <w:ind w:right="240" w:firstLine="8"/>
        <w:spacing w:after="0" w:line="255" w:lineRule="auto"/>
        <w:tabs>
          <w:tab w:leader="none" w:pos="5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economic value; (xxxiii) operating efficiency; (xxxiv) research and development achievements; (xxxvi) any other metric that is capable of measurement by the Committee; or (xxxv) any combination of the forgoing business criteria;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business criteria shall include any derivations of business criteria listed above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income shall include pre-tax income, net income and operating income).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12.4   Settlement of Performance Awards; Other Terms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Settlement of Performance Awards may be in cash, Shares, other Awards or other property, as determined by the Committee. The Committee may reduce the amount of a settlement otherwise to be made in connection with Performance Awards.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12.5   Written Determinations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Following the completion of a performance period applicable to a Performance Award, the Committee shall determine whether, and to what extent, the performance goals for the performance period have been achieved and, if so, calculate the amount of the Performance Awards earned for the performance period. All determinations by the Committee as to the establishment of performance goals, the amount of any Performance Award pool or individual Performance Awards and as to the achievement of performance goals relating to Performance Awards, shall be made in writing.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13.   OTHER SHARE-BASED AWARDS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13.1   Grant of Other Share-based Awards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Other Share-based Awards may be granted either alone or in addition to or in conjunction with other Awards. Other Share-based Awards may be granted in lieu of other cash or other compensation to which a Service Provider is entitled from the Company or may be used in the settlement of amounts payable in Shares under any other compensation plan or arrangement of the Company. Subject to the provisions of the Plan, the Committee shall have the authority to determine the persons to whom and the time or times at which such Awards will be made, the number of Shares to be granted pursuant to such Awards, and all other terms and conditions of such Awards. Unless the Committee determines otherwise, any such Award shall be confirmed by an Award Agreement, which shall contain such provisions as the Committee determines to be necessary or appropriate to carry out the intent of the Plan with respect to such Award.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13.2   Terms of Other Share-based Awards</w:t>
      </w:r>
    </w:p>
    <w:p>
      <w:pPr>
        <w:spacing w:after="0" w:line="2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 xml:space="preserve">Any Common Stock subject to Awards made under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REQUIREMENTS OF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14.1   General</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shall not be required to sell or issue any Shares under any Award if the sale or issuance of such Shares would constitute a violation by the Grantee, any other person or the Company of any provision of any law or regulation of any governmental authority, including any federal or state securities laws or regulations. If at any time the Committee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under an Award, including pursuant to an Option exercise,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Company shall not be required to sell or issue such Shares unless the Committee has received evidence satisfactory to it that the Grantee or any other individual exercising an Option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14.2   Rule 16b-3</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any time when the Company has a class of equity security registered under Section 12 of the Exchange Act, it is the intent of the Company that Awards and the exercise of Options granted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Committee, and shall not affect the validity of the Plan. In the event that Rule 16b-3 is revised or replaced, the Committee may modify the Plan in any respect necessary to satisfy the requirements of, or to take advantage of any features of, the revised exemption or its replacement.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15.   EFFECT OF CHANGES IN CAPITALIZATION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15.1   Adjustments for Changes in Capital Structure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Subject to any required action by the Stockholders, in the event of any change in the Shares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of Shares, appropriate and proportionate adjustments shall be made in the number and class of shares subject to the Plan and to any outstanding Awards, and in the Option Price, SAR Exercise Price or Purchase Price per Share of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 Change in Control) shares of another corporation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Committee may unilaterally amend the outstanding Awards to provide that such Awards are for New Shares. In the event of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 the number of Shares subject to, and the Option Price, SAR Exercise Price or Purchase Price per Share of, the outstanding Awards shall be adjusted in a fair and equitable manner as determined by the Committee. Any fractional share resulting from an adjustment pursuant to this </w:t>
      </w:r>
      <w:r>
        <w:rPr>
          <w:rFonts w:ascii="Times New Roman" w:cs="Times New Roman" w:eastAsia="Times New Roman" w:hAnsi="Times New Roman"/>
          <w:sz w:val="18"/>
          <w:szCs w:val="18"/>
          <w:b w:val="1"/>
          <w:bCs w:val="1"/>
          <w:color w:val="auto"/>
        </w:rPr>
        <w:t>Section 15.1</w:t>
      </w:r>
      <w:r>
        <w:rPr>
          <w:rFonts w:ascii="Times New Roman" w:cs="Times New Roman" w:eastAsia="Times New Roman" w:hAnsi="Times New Roman"/>
          <w:sz w:val="18"/>
          <w:szCs w:val="18"/>
          <w:color w:val="auto"/>
        </w:rPr>
        <w:t xml:space="preserve"> shall be rounded down to the nearest whole number and the Option Price, SAR Exercise Price or Purchase Price per share shall be rounded up to the nearest whole cent. In no event may the exercise or purchase price of any Award be decreased to an amount less than the par value, if any, of the stock subject to the Award. The Committee may also make such adjustments in the terms of any Award to reflect, or related to, such changes in the capital structure of the Company or distributions as it deems appropriate. Adjustments determined by the Committee pursuant to this </w:t>
      </w:r>
      <w:r>
        <w:rPr>
          <w:rFonts w:ascii="Times New Roman" w:cs="Times New Roman" w:eastAsia="Times New Roman" w:hAnsi="Times New Roman"/>
          <w:sz w:val="18"/>
          <w:szCs w:val="18"/>
          <w:b w:val="1"/>
          <w:bCs w:val="1"/>
          <w:color w:val="auto"/>
        </w:rPr>
        <w:t>Section 15.1</w:t>
      </w:r>
      <w:r>
        <w:rPr>
          <w:rFonts w:ascii="Times New Roman" w:cs="Times New Roman" w:eastAsia="Times New Roman" w:hAnsi="Times New Roman"/>
          <w:sz w:val="18"/>
          <w:szCs w:val="18"/>
          <w:color w:val="auto"/>
        </w:rPr>
        <w:t xml:space="preserve"> shall be made in accordance with Section 409A to the extent applicable.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15.2   Change in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15.2.1.   Consequences of a Change in Control</w:t>
      </w:r>
    </w:p>
    <w:p>
      <w:pPr>
        <w:spacing w:after="0" w:line="229" w:lineRule="exact"/>
        <w:rPr>
          <w:sz w:val="20"/>
          <w:szCs w:val="20"/>
          <w:color w:val="auto"/>
        </w:rPr>
      </w:pPr>
    </w:p>
    <w:p>
      <w:pPr>
        <w:ind w:left="340" w:right="360" w:firstLine="324"/>
        <w:spacing w:after="0" w:line="282" w:lineRule="auto"/>
        <w:rPr>
          <w:sz w:val="20"/>
          <w:szCs w:val="20"/>
          <w:color w:val="auto"/>
        </w:rPr>
      </w:pPr>
      <w:r>
        <w:rPr>
          <w:rFonts w:ascii="Times New Roman" w:cs="Times New Roman" w:eastAsia="Times New Roman" w:hAnsi="Times New Roman"/>
          <w:sz w:val="18"/>
          <w:szCs w:val="18"/>
          <w:color w:val="auto"/>
        </w:rPr>
        <w:t>Subject to the requirements and limitations of Section 409A if applicable, the Committee may provide for any one or more of the following in connection with a Change in Control:</w:t>
      </w:r>
    </w:p>
    <w:p>
      <w:pPr>
        <w:spacing w:after="0" w:line="158" w:lineRule="exact"/>
        <w:rPr>
          <w:sz w:val="20"/>
          <w:szCs w:val="20"/>
          <w:color w:val="auto"/>
        </w:rPr>
      </w:pPr>
    </w:p>
    <w:p>
      <w:pPr>
        <w:ind w:left="660" w:right="1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Accelerated Vesting; Cancellation of Unvested Awards</w:t>
      </w:r>
      <w:r>
        <w:rPr>
          <w:rFonts w:ascii="Times New Roman" w:cs="Times New Roman" w:eastAsia="Times New Roman" w:hAnsi="Times New Roman"/>
          <w:sz w:val="18"/>
          <w:szCs w:val="18"/>
          <w:color w:val="auto"/>
        </w:rPr>
        <w:t>.  The Committee may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including termination of the Grantee’s Service prior to, upon, or following such Change in Control, to such extent as the Committee shall determine. Unless otherwise provided in an Award Agreement, any Awards that are unvested or not exercised prior to the effective time of a Change in Control may be terminated for no consideration.</w:t>
      </w:r>
    </w:p>
    <w:p>
      <w:pPr>
        <w:spacing w:after="0" w:line="182" w:lineRule="exact"/>
        <w:rPr>
          <w:sz w:val="20"/>
          <w:szCs w:val="20"/>
          <w:color w:val="auto"/>
        </w:rPr>
      </w:pPr>
    </w:p>
    <w:p>
      <w:pPr>
        <w:ind w:left="660" w:firstLine="324"/>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color w:val="auto"/>
        </w:rPr>
        <w:t>Assumption, Continuation or Substitution</w:t>
      </w:r>
      <w:r>
        <w:rPr>
          <w:rFonts w:ascii="Times New Roman" w:cs="Times New Roman" w:eastAsia="Times New Roman" w:hAnsi="Times New Roman"/>
          <w:sz w:val="18"/>
          <w:szCs w:val="18"/>
          <w:color w:val="auto"/>
        </w:rPr>
        <w: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xml:space="preserve">”),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Times New Roman" w:cs="Times New Roman" w:eastAsia="Times New Roman" w:hAnsi="Times New Roman"/>
          <w:sz w:val="18"/>
          <w:szCs w:val="18"/>
          <w:b w:val="1"/>
          <w:bCs w:val="1"/>
          <w:color w:val="auto"/>
        </w:rPr>
        <w:t>Section 15.2</w:t>
      </w:r>
      <w:r>
        <w:rPr>
          <w:rFonts w:ascii="Times New Roman" w:cs="Times New Roman" w:eastAsia="Times New Roman" w:hAnsi="Times New Roman"/>
          <w:sz w:val="18"/>
          <w:szCs w:val="18"/>
          <w:color w:val="auto"/>
        </w:rPr>
        <w:t xml:space="preserve">, if so determined by the Committee,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consideration is not solely common stock of the Acquiror, the Committee may, with the consent of the Acquiror, provide for the consideration to be received upon the exercise or settlement of the Award, for each Share subject to the Award, to consist solely of common stock of the Acquiror equal in Fair Market Value to the per share consideration received by Stockholders pursuant to the Change in Control.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320"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b w:val="1"/>
          <w:bCs w:val="1"/>
          <w:color w:val="auto"/>
        </w:rPr>
        <w:t>Cash-Out of Awards</w:t>
      </w:r>
      <w:r>
        <w:rPr>
          <w:rFonts w:ascii="Times New Roman" w:cs="Times New Roman" w:eastAsia="Times New Roman" w:hAnsi="Times New Roman"/>
          <w:sz w:val="18"/>
          <w:szCs w:val="18"/>
          <w:color w:val="auto"/>
        </w:rPr>
        <w:t xml:space="preserve">.  The Committee may, in its discretion and without the consent of any Grantee, determine that, upon the occurrence of a Change in Control, each or any Award or a portion thereof outstanding immediately prior to the Change in Control and not previously exercised or settled shall be canceled in exchange for a payment with respect to each vested Share (and each unvested Share, if so determined by the Committee)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In the event such determination is made by the Committee,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 For avoidance of doubt, if the amount determined pursuant to this </w:t>
      </w:r>
      <w:r>
        <w:rPr>
          <w:rFonts w:ascii="Times New Roman" w:cs="Times New Roman" w:eastAsia="Times New Roman" w:hAnsi="Times New Roman"/>
          <w:sz w:val="18"/>
          <w:szCs w:val="18"/>
          <w:b w:val="1"/>
          <w:bCs w:val="1"/>
          <w:color w:val="auto"/>
        </w:rPr>
        <w:t xml:space="preserve">Section 15.2 </w:t>
      </w:r>
      <w:r>
        <w:rPr>
          <w:rFonts w:ascii="Times New Roman" w:cs="Times New Roman" w:eastAsia="Times New Roman" w:hAnsi="Times New Roman"/>
          <w:sz w:val="18"/>
          <w:szCs w:val="18"/>
          <w:color w:val="auto"/>
        </w:rPr>
        <w:t>for an Option or SAR is zero or less, the affected Option or SAR may be cancelled without any payment therefore.</w:t>
      </w:r>
    </w:p>
    <w:p>
      <w:pPr>
        <w:spacing w:after="0" w:line="19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Committee need not take the same action in connection with the Change in Control with respect to all Awards or portions thereof, all Grantees, or the vested and unvested portions of an Award. The Committee may provide that payments may be subject to the same terms and conditions as the payment of consideration to the Stockholders in connection with the Change in Control, including any delay as a result of escrows, earn outs, holdbacks or other contingencies. The Committee may also provide that payments made over time will remain subject to substantially the same vesting schedule as the Award, including any performance-based vesting metrics that applied to the Award immediately prior to the closing of the Change in Control.</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15.2.2.   Payment Conditions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By accepting an Award under the Plan, each Grantee agrees that if an Award is to be terminated in connection with a Change in Control in exchange for a payment in cash, securities or other property, the Committee may require, as condition to receipt of any such payment, that the Grantee execute an Award termination agreement providing for, among other things, (i) the Grantee’s agreement and consent to (x) the amount of such consideration to be paid in respect of the Award and (y) the termination of the Award in exchange for such consideration, (ii) the Grantee’s agreement to be bound by any applicable provisions contained in the definitive agreements relating to the Change inf Control that are applicable to Stockholders generally, (iii) a customary release of any and all claims the Grantee may have, whether known, unknown or otherwise, arising from or relating to the Award and ownership of Company securities, (iv) the Grantee’s agreement to keep all non-public information provided in connection with the Change in Control transaction confidential, and (v) other customary provisions.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15.2.3.   Change in Control Defined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provided in the applicable Award Agreement, 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consummation of any of the following events: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The acquisition, other than from the Company, by any individual, entity or group (within the meaning of Section 13(d)(3) or</w:t>
      </w:r>
    </w:p>
    <w:p>
      <w:pPr>
        <w:spacing w:after="0" w:line="27"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Section 14(d)(2) of the Exchange Act), other than the Company or any subsidiary, affiliate (within the meaning of Rule 144 promulgated under the Securities Act) or employee benefit plan of the Company, of beneficial ownership (within the meaning of Rule 13d-3 promulgated under the Exchange Act) of more than 50%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b w:val="1"/>
          <w:bCs w:val="1"/>
          <w:color w:val="auto"/>
        </w:rPr>
        <w:t>Voting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0" w:right="359" w:bottom="1440" w:gutter="0" w:footer="0" w:header="0"/>
        </w:sectPr>
      </w:pPr>
    </w:p>
    <w:bookmarkStart w:id="18" w:name="page19"/>
    <w:bookmarkEnd w:id="18"/>
    <w:p>
      <w:pPr>
        <w:ind w:left="660" w:right="40" w:firstLine="324"/>
        <w:spacing w:after="0" w:line="262" w:lineRule="auto"/>
        <w:rPr>
          <w:sz w:val="20"/>
          <w:szCs w:val="20"/>
          <w:color w:val="auto"/>
        </w:rPr>
      </w:pPr>
      <w:r>
        <w:rPr>
          <w:rFonts w:ascii="Times New Roman" w:cs="Times New Roman" w:eastAsia="Times New Roman" w:hAnsi="Times New Roman"/>
          <w:sz w:val="18"/>
          <w:szCs w:val="18"/>
          <w:color w:val="auto"/>
        </w:rPr>
        <w:t>(ii)  A reorganization, merger, consolidation or recapitalization of the Company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other than a Business Combination in which more than 50% of the combined voting power of the outstanding voting securities of the surviving or resulting entity immediately following the Business Combination is held by the Persons who, immediately prior to the Business Combination, were the holders of the Voting Securities; or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A complete liquidation or dissolution of the Company, or a sale of all or substantially all of the assets of the Company; or</w:t>
      </w:r>
    </w:p>
    <w:p>
      <w:pPr>
        <w:spacing w:after="0" w:line="221" w:lineRule="exact"/>
        <w:rPr>
          <w:sz w:val="20"/>
          <w:szCs w:val="20"/>
          <w:color w:val="auto"/>
        </w:rPr>
      </w:pPr>
    </w:p>
    <w:p>
      <w:pPr>
        <w:ind w:left="660" w:right="260" w:firstLine="324"/>
        <w:spacing w:after="0" w:line="262" w:lineRule="auto"/>
        <w:rPr>
          <w:sz w:val="20"/>
          <w:szCs w:val="20"/>
          <w:color w:val="auto"/>
        </w:rPr>
      </w:pPr>
      <w:r>
        <w:rPr>
          <w:rFonts w:ascii="Times New Roman" w:cs="Times New Roman" w:eastAsia="Times New Roman" w:hAnsi="Times New Roman"/>
          <w:sz w:val="18"/>
          <w:szCs w:val="18"/>
          <w:color w:val="auto"/>
        </w:rPr>
        <w:t>(iv)  During any period of 24 consecutive months, the Incumbent Directors cease to constitute a majority of the Board; “</w:t>
      </w:r>
      <w:r>
        <w:rPr>
          <w:rFonts w:ascii="Times New Roman" w:cs="Times New Roman" w:eastAsia="Times New Roman" w:hAnsi="Times New Roman"/>
          <w:sz w:val="18"/>
          <w:szCs w:val="18"/>
          <w:b w:val="1"/>
          <w:bCs w:val="1"/>
          <w:color w:val="auto"/>
        </w:rPr>
        <w:t>Incumbent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individuals who were members of the Board at the beginning of such period or individuals whose election or nomination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to the Board by the Stockholders was approved by a vote of at least a majority of the then Incumbent Directors (but excluding any individual whose initial election or nomination is in connection with an actual or threatened proxy contest relating to the election of directors).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15.3   Adjustments</w:t>
      </w:r>
    </w:p>
    <w:p>
      <w:pPr>
        <w:spacing w:after="0" w:line="225" w:lineRule="exact"/>
        <w:rPr>
          <w:sz w:val="20"/>
          <w:szCs w:val="20"/>
          <w:color w:val="auto"/>
        </w:rPr>
      </w:pPr>
    </w:p>
    <w:p>
      <w:pPr>
        <w:ind w:right="4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Adjustments under this </w:t>
      </w: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related to Shares or securities of the Company shall be made by the Committee. No fractional Shares or other securities shall be issued pursuant to any such adjustment, and any fractions resulting from any such adjustment shall be eliminated in each case by rounding downward to the nearest whole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 LIMITATIONS ON COMPANY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TERMS APPLICABLE GENERALLY TO AWARDS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17.1   Disclaimer of Rights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and conditions of the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17.2   Nonexclusivity of the Plan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Neither the adoption of the Plan nor the submission of the Plan to the Stockholders for approval shall be construed as creating any limitations upon the right and authority of the Board or its delegate to adopt such other compensation arrangements as the Board or its delegate determines desirable.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b w:val="1"/>
          <w:bCs w:val="1"/>
          <w:color w:val="auto"/>
        </w:rPr>
        <w:t>17.3   Withholding Taxes</w:t>
      </w:r>
    </w:p>
    <w:p>
      <w:pPr>
        <w:spacing w:after="0" w:line="229" w:lineRule="exact"/>
        <w:rPr>
          <w:sz w:val="20"/>
          <w:szCs w:val="20"/>
          <w:color w:val="auto"/>
        </w:rPr>
      </w:pPr>
    </w:p>
    <w:p>
      <w:pPr>
        <w:ind w:right="340" w:firstLine="324"/>
        <w:spacing w:after="0" w:line="276" w:lineRule="auto"/>
        <w:rPr>
          <w:sz w:val="20"/>
          <w:szCs w:val="20"/>
          <w:color w:val="auto"/>
        </w:rPr>
      </w:pPr>
      <w:r>
        <w:rPr>
          <w:rFonts w:ascii="Times New Roman" w:cs="Times New Roman" w:eastAsia="Times New Roman" w:hAnsi="Times New Roman"/>
          <w:sz w:val="17"/>
          <w:szCs w:val="17"/>
          <w:color w:val="auto"/>
        </w:rPr>
        <w:t>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w:t>
      </w:r>
    </w:p>
    <w:p>
      <w:pPr>
        <w:spacing w:after="0" w:line="1" w:lineRule="exact"/>
        <w:rPr>
          <w:sz w:val="20"/>
          <w:szCs w:val="20"/>
          <w:color w:val="auto"/>
        </w:rPr>
      </w:pPr>
    </w:p>
    <w:p>
      <w:pPr>
        <w:ind w:right="20" w:firstLine="8"/>
        <w:spacing w:after="0" w:line="25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issuance of any Shares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Committee, the Grantee may elect to satisfy such obligations, or the Company may require such obligations to be satisfied, in whole or in part, (i) 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used to satisfy such withholding obligation shall be determined by the Company or the Affiliate as of the date that the amount of tax to be withheld is to be determined. A Grantee who has made an election pursuant to this </w:t>
      </w:r>
      <w:r>
        <w:rPr>
          <w:rFonts w:ascii="Times New Roman" w:cs="Times New Roman" w:eastAsia="Times New Roman" w:hAnsi="Times New Roman"/>
          <w:sz w:val="18"/>
          <w:szCs w:val="18"/>
          <w:b w:val="1"/>
          <w:bCs w:val="1"/>
          <w:color w:val="auto"/>
        </w:rPr>
        <w:t>Section 17.3</w:t>
      </w:r>
      <w:r>
        <w:rPr>
          <w:rFonts w:ascii="Times New Roman" w:cs="Times New Roman" w:eastAsia="Times New Roman" w:hAnsi="Times New Roman"/>
          <w:sz w:val="18"/>
          <w:szCs w:val="18"/>
          <w:color w:val="auto"/>
        </w:rPr>
        <w:t xml:space="preserve"> may satisfy his or her withholding obligation only with Shares that are not subject to any repurchase, forfeiture, unfulfilled vesting or other similar requirements.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17.4   Other Provisions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Award Agreement may contain such other terms and conditions not inconsistent with the Plan as may be determined by the Committee.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17.5   Severability</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conditions, and all provisions shall remain enforceable in any other jurisdiction.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17.6   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Plan shall be governed by and construed in accordance with the laws of the State of Delaware without giving effect to the principles of conflicts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17.7   Section 409A</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intends that the Plan and Awards granted under the Plan (unless otherwise expressly provided for in the Award Agreement or Committee resolutions approving the Award) are exempt from the requirements of Section 409A to the maximum extent possible, whether pursuant to the short-term deferral exception described in Treasury Regulation Section 1.409A-1(b)(4), the exclusion applicable to share options, share appreciation rights and certain other equity-based compensation under Treasury Regulation Section 1.409A-1(b)(5) or 1.409A-1(b)(6), or otherwise. The Committee shall use best efforts to interpret, operate and administer the Plan and any Award granted under the Plan in a manner consistent with this intention. However, the Committee makes no representations that Awards granted under the Plan shall be exempt from or comply with Section 409A and makes no undertaking to preclude Section 409A from applying to Awards granted under the Plan.</w:t>
      </w:r>
    </w:p>
    <w:p>
      <w:pPr>
        <w:spacing w:after="0" w:line="185" w:lineRule="exact"/>
        <w:rPr>
          <w:sz w:val="20"/>
          <w:szCs w:val="20"/>
          <w:color w:val="auto"/>
        </w:rPr>
      </w:pPr>
    </w:p>
    <w:p>
      <w:pPr>
        <w:ind w:left="340"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17.7.1.</w:t>
      </w:r>
      <w:r>
        <w:rPr>
          <w:rFonts w:ascii="Times New Roman" w:cs="Times New Roman" w:eastAsia="Times New Roman" w:hAnsi="Times New Roman"/>
          <w:sz w:val="18"/>
          <w:szCs w:val="18"/>
          <w:color w:val="auto"/>
        </w:rPr>
        <w:t xml:space="preserve">  If Section 409A is applicable to any Award granted under the Plan (that is, to the extent not so exempt), the Committee intends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non-exempt Award will comply with the deferral, payout, plan termination and other limitations and restrictions imposed under Section 409A.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17.7.2.</w:t>
      </w:r>
      <w:r>
        <w:rPr>
          <w:rFonts w:ascii="Times New Roman" w:cs="Times New Roman" w:eastAsia="Times New Roman" w:hAnsi="Times New Roman"/>
          <w:sz w:val="18"/>
          <w:szCs w:val="18"/>
          <w:color w:val="auto"/>
        </w:rPr>
        <w:t xml:space="preserve">   If necessary for exemption from, or compliance with, Section 409A:</w:t>
      </w:r>
    </w:p>
    <w:p>
      <w:pPr>
        <w:spacing w:after="0" w:line="229" w:lineRule="exact"/>
        <w:rPr>
          <w:sz w:val="20"/>
          <w:szCs w:val="20"/>
          <w:color w:val="auto"/>
        </w:rPr>
      </w:pPr>
    </w:p>
    <w:p>
      <w:pPr>
        <w:ind w:left="660" w:right="60" w:firstLine="324"/>
        <w:spacing w:after="0" w:line="282" w:lineRule="auto"/>
        <w:rPr>
          <w:sz w:val="20"/>
          <w:szCs w:val="20"/>
          <w:color w:val="auto"/>
        </w:rPr>
      </w:pPr>
      <w:r>
        <w:rPr>
          <w:rFonts w:ascii="Times New Roman" w:cs="Times New Roman" w:eastAsia="Times New Roman" w:hAnsi="Times New Roman"/>
          <w:sz w:val="18"/>
          <w:szCs w:val="18"/>
          <w:color w:val="auto"/>
        </w:rPr>
        <w:t>(i)  All references in the Plan or any Award granted under the Plan to the termination of the Grantee’s employment or service are intended to mean the Grantee’s “separation from service,” within the meaning of Section 409A(a)(2)(A)(i).</w:t>
      </w:r>
    </w:p>
    <w:p>
      <w:pPr>
        <w:spacing w:after="0" w:line="162" w:lineRule="exact"/>
        <w:rPr>
          <w:sz w:val="20"/>
          <w:szCs w:val="20"/>
          <w:color w:val="auto"/>
        </w:rPr>
      </w:pPr>
    </w:p>
    <w:p>
      <w:pPr>
        <w:ind w:left="660" w:right="20" w:firstLine="324"/>
        <w:spacing w:after="0" w:line="266" w:lineRule="auto"/>
        <w:rPr>
          <w:sz w:val="20"/>
          <w:szCs w:val="20"/>
          <w:color w:val="auto"/>
        </w:rPr>
      </w:pPr>
      <w:r>
        <w:rPr>
          <w:rFonts w:ascii="Times New Roman" w:cs="Times New Roman" w:eastAsia="Times New Roman" w:hAnsi="Times New Roman"/>
          <w:sz w:val="18"/>
          <w:szCs w:val="18"/>
          <w:color w:val="auto"/>
        </w:rPr>
        <w:t>(ii)  The Committee shall treat each installment that vests or is delivered under an Award in a series of payments or installments as a separate and distinct payment for purposes of Section 409A, unless expressly set forth in the Award Agreement that each installment is not a separate payment.</w:t>
      </w:r>
    </w:p>
    <w:p>
      <w:pPr>
        <w:spacing w:after="0" w:line="176" w:lineRule="exact"/>
        <w:rPr>
          <w:sz w:val="20"/>
          <w:szCs w:val="20"/>
          <w:color w:val="auto"/>
        </w:rPr>
      </w:pPr>
    </w:p>
    <w:p>
      <w:pPr>
        <w:ind w:left="660" w:right="80" w:firstLine="324"/>
        <w:spacing w:after="0" w:line="256" w:lineRule="auto"/>
        <w:rPr>
          <w:sz w:val="20"/>
          <w:szCs w:val="20"/>
          <w:color w:val="auto"/>
        </w:rPr>
      </w:pPr>
      <w:r>
        <w:rPr>
          <w:rFonts w:ascii="Times New Roman" w:cs="Times New Roman" w:eastAsia="Times New Roman" w:hAnsi="Times New Roman"/>
          <w:sz w:val="18"/>
          <w:szCs w:val="18"/>
          <w:color w:val="auto"/>
        </w:rPr>
        <w:t>(iii)  If the Grantee is a “specified employee,” within the meaning of Section 409A, then if necessary to avoid subjecting the Grantee to the imposition of any additional tax under Section 409A, amounts that would otherwise be payable under the Plan or any Award granted under the Plan during the six-month period immediately following the Grantee’s “separation from service” will not be paid to the Grantee during such period, but will instead be accumulated and paid to the Grantee (or, in the event of the Grantee’s death, the Grantee’s estate) in a lump sum on the first business day after the earlier of the date that is six months following the Grantee’s separation from service or the Grantee’s death, unless the amounts can be paid in another manner that complies with Section 409A.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left="660" w:right="40" w:firstLine="324"/>
        <w:spacing w:after="0" w:line="258" w:lineRule="auto"/>
        <w:rPr>
          <w:sz w:val="20"/>
          <w:szCs w:val="20"/>
          <w:color w:val="auto"/>
        </w:rPr>
      </w:pPr>
      <w:r>
        <w:rPr>
          <w:rFonts w:ascii="Times New Roman" w:cs="Times New Roman" w:eastAsia="Times New Roman" w:hAnsi="Times New Roman"/>
          <w:sz w:val="18"/>
          <w:szCs w:val="18"/>
          <w:color w:val="auto"/>
        </w:rPr>
        <w:t>(iv)  If, after the Grant Date of an Award, the Committee determines that an Award is reasonably likely to fail to be either exempt from or compliant with Section 409A, the Committee reserves the right, but shall not be required, to unilaterally (and without the affected Grantee’s consent) amend or modify the Plan and any Award granted under the Plan so that the Award qualifies for exemption from or complies with Section 409A. Any such amendment or modification made to avoid the imposition of adverse taxation under Section 409A shall be deemed not to materially impair a Grantee’s rights or obligations under any Award.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17.8   Separation from Service</w:t>
      </w:r>
    </w:p>
    <w:p>
      <w:pPr>
        <w:spacing w:after="0" w:line="229"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The Committee shall determine the effect of a Separation from Service upon Awards, and such effect shall be set forth in the applicable Award Agreement. Without limiting the foregoing, the Committee may provide in the Award Agreements at the time of grant, or any time thereafter with the consent of the Grantee, the actions that will be taken upon the occurrence of a Separation from Service, including accelerated vesting or termination, depending upon the circumstances surrounding the Separation from Service.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17.9   Transferability of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17.9.1.   Transfers in General</w:t>
      </w:r>
    </w:p>
    <w:p>
      <w:pPr>
        <w:spacing w:after="0" w:line="225" w:lineRule="exact"/>
        <w:rPr>
          <w:sz w:val="20"/>
          <w:szCs w:val="20"/>
          <w:color w:val="auto"/>
        </w:rPr>
      </w:pPr>
    </w:p>
    <w:p>
      <w:pPr>
        <w:jc w:val="both"/>
        <w:ind w:left="340" w:right="1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no Award shall be assignable or transferable by the Grantee, other than by will or the laws of descent and distribution, and, during the lifetime of the Grantee, only the Grantee personally (or the Grantee’s personal representative) may exercise rights under the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17.9.2.   Family Transfers</w:t>
      </w:r>
    </w:p>
    <w:p>
      <w:pPr>
        <w:spacing w:after="0" w:line="229" w:lineRule="exact"/>
        <w:rPr>
          <w:sz w:val="20"/>
          <w:szCs w:val="20"/>
          <w:color w:val="auto"/>
        </w:rPr>
      </w:pPr>
    </w:p>
    <w:p>
      <w:pPr>
        <w:ind w:left="3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authorized in the applicable Award Agreement, a Grantee may transfer, not for value, all or part of an Award (other than Incentive Stock Options) to any Family Member. For the purpose of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xml:space="preserve">, a “not for value” transfer is a transfer that is (i) a gift, (ii) a transfer under a domestic relations order in settlement of marital property rights or (iii) a transfer to an entity in which more than 50% of the voting interests are owned by Family Members (or the Grantee) in exchange for an interest in that entity. Following a transfer under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Times New Roman" w:cs="Times New Roman" w:eastAsia="Times New Roman" w:hAnsi="Times New Roman"/>
          <w:sz w:val="18"/>
          <w:szCs w:val="18"/>
          <w:b w:val="1"/>
          <w:bCs w:val="1"/>
          <w:color w:val="auto"/>
        </w:rPr>
        <w:t>Section 17.9.2</w:t>
      </w:r>
      <w:r>
        <w:rPr>
          <w:rFonts w:ascii="Times New Roman" w:cs="Times New Roman" w:eastAsia="Times New Roman" w:hAnsi="Times New Roman"/>
          <w:sz w:val="18"/>
          <w:szCs w:val="18"/>
          <w:color w:val="auto"/>
        </w:rPr>
        <w:t xml:space="preserve"> or by will or the laws of descent and distribution.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17.9.3.   Dividends and Dividend Equivalent Rights</w:t>
      </w:r>
    </w:p>
    <w:p>
      <w:pPr>
        <w:spacing w:after="0" w:line="229" w:lineRule="exact"/>
        <w:rPr>
          <w:sz w:val="20"/>
          <w:szCs w:val="20"/>
          <w:color w:val="auto"/>
        </w:rPr>
      </w:pPr>
    </w:p>
    <w:p>
      <w:pPr>
        <w:ind w:left="340" w:firstLine="324"/>
        <w:spacing w:after="0" w:line="256" w:lineRule="auto"/>
        <w:rPr>
          <w:sz w:val="20"/>
          <w:szCs w:val="20"/>
          <w:color w:val="auto"/>
        </w:rPr>
      </w:pPr>
      <w:r>
        <w:rPr>
          <w:rFonts w:ascii="Times New Roman" w:cs="Times New Roman" w:eastAsia="Times New Roman" w:hAnsi="Times New Roman"/>
          <w:sz w:val="18"/>
          <w:szCs w:val="18"/>
          <w:color w:val="auto"/>
        </w:rPr>
        <w:t>If specified in the Award Agreement, the recipient of an Award may be entitled to receive, currently or on a deferred basis, dividends or dividend equivalents with respect to the Common Stock or other securities covered by an Award. The terms and conditions of a dividend equivalent right may be set forth in the Award Agreement. Dividend equivalents credited to a Grantee may be paid currently or may be deemed to be reinvested in additional Shares or other securities of the Company at a price per unit equal to the Fair Market Value on the date that such dividend was paid to Stockholders, as determined by the Committee. Notwithstanding the foregoing, in no event will dividends or dividend equivalents on any Award that is subject to the achievement of performance criteria be payable before the Award has become earned and payable.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17.10   No Trust of Fund.</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Plan is intended to constitute an “unfunded” plan. Nothing contained herein shall require the Company to segregate any monies or other property, or Shares, or to create any trusts, or to make any special deposits for any immediate or deferred amounts payable to any Grantee, and no Grantee shall have any rights that are greater than those of a general unsecured creditor of the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color w:val="auto"/>
        </w:rPr>
        <w:t>17.11   Plan Construction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the Plan, unless otherwise stated, the following uses apply: (i) references to a statute or law refer to the statute or law and any amendments and any successor statutes or laws, and to all valid and binding governmental regulations, court decisions and other regulatory and judicial authority issued or rendered thereunder, as amended, or their successors, as in effect at the relevant time; (ii) in computing periods from a specified date to a later specified date, the words “from” and “commencing on” (and the like) mean “from and including,” and the words “to,” “until” and “ending on” (and the like) mean “to and including”; (iii) indications of time of day shall be based upon the time applicable to the location of the principal headquarters of the Company;</w:t>
      </w:r>
    </w:p>
    <w:p>
      <w:pPr>
        <w:spacing w:after="0" w:line="3" w:lineRule="exact"/>
        <w:rPr>
          <w:sz w:val="20"/>
          <w:szCs w:val="20"/>
          <w:color w:val="auto"/>
        </w:rPr>
      </w:pPr>
    </w:p>
    <w:p>
      <w:pPr>
        <w:ind w:firstLine="8"/>
        <w:spacing w:after="0" w:line="251"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(and the like) mean “include, without limitation,” “includes, without limitation” and “including, without limitation” (and the like), respectively; (v) all references to articles and sections are to articles and sections in the Plan; (vi) all words used shall be construed to be of such gender or number as the circumstances and context require; (vii) the captions and headings of articles and sections have been inserted solely for convenience of reference and shall not be considered a part of the Plan, nor shall any of them affect the meaning or interpretation of the Plan or any of its provisions; (viii)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generally accepted accounting principles.</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2"/>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Roman"/>
      <w:start w:val="20"/>
    </w:lvl>
  </w:abstractNum>
  <w:abstractNum w:abstractNumId="7">
    <w:nsid w:val="12200854"/>
    <w:multiLevelType w:val="hybridMultilevel"/>
    <w:lvl w:ilvl="0">
      <w:lvlJc w:val="left"/>
      <w:lvlText w:val="(%1)"/>
      <w:numFmt w:val="lowerRoman"/>
      <w:start w:val="29"/>
    </w:lvl>
  </w:abstractNum>
  <w:abstractNum w:abstractNumId="8">
    <w:nsid w:val="4DB127F8"/>
    <w:multiLevelType w:val="hybridMultilevel"/>
    <w:lvl w:ilvl="0">
      <w:lvlJc w:val="left"/>
      <w:lvlText w:val="(%1)"/>
      <w:numFmt w:val="lowerRoman"/>
      <w:start w:val="32"/>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2026-06-12T15:36:55Z</dcterms:created>
  <dcterms:modified xsi:type="dcterms:W3CDTF">2026-06-12T15:36:55Z</dcterms:modified>
</cp:coreProperties>
</file>