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6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43180</wp:posOffset>
            </wp:positionV>
            <wp:extent cx="1183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001-36379</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ENERGOUS CORPORATION</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14" w:right="339" w:bottom="1440" w:gutter="0" w:footer="0" w:header="0"/>
        </w:sectPr>
      </w:pPr>
    </w:p>
    <w:p>
      <w:pPr>
        <w:spacing w:after="0" w:line="11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46-1318953</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108" w:lineRule="exact"/>
        <w:rPr>
          <w:sz w:val="24"/>
          <w:szCs w:val="24"/>
          <w:color w:val="auto"/>
        </w:rPr>
      </w:pPr>
    </w:p>
    <w:p>
      <w:pPr>
        <w:sectPr>
          <w:pgSz w:w="11900" w:h="16838" w:orient="portrait"/>
          <w:cols w:equalWidth="0" w:num="2">
            <w:col w:w="6480" w:space="720"/>
            <w:col w:w="404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3590 North First Street, Suite 210, San Jose, CA 95134</w:t>
      </w:r>
    </w:p>
    <w:p>
      <w:pPr>
        <w:sectPr>
          <w:pgSz w:w="11900" w:h="16838" w:orient="portrait"/>
          <w:cols w:equalWidth="0" w:num="1">
            <w:col w:w="11240"/>
          </w:cols>
          <w:pgMar w:left="320" w:top="314" w:right="339" w:bottom="1440" w:gutter="0" w:footer="0" w:header="0"/>
          <w:type w:val="continuous"/>
        </w:sectPr>
      </w:pPr>
    </w:p>
    <w:p>
      <w:pPr>
        <w:spacing w:after="0" w:line="50" w:lineRule="exact"/>
        <w:rPr>
          <w:sz w:val="24"/>
          <w:szCs w:val="24"/>
          <w:color w:val="auto"/>
        </w:rPr>
      </w:pPr>
    </w:p>
    <w:p>
      <w:pPr>
        <w:ind w:left="408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48" w:lineRule="exact"/>
        <w:rPr>
          <w:sz w:val="24"/>
          <w:szCs w:val="24"/>
          <w:color w:val="auto"/>
        </w:rPr>
      </w:pPr>
    </w:p>
    <w:p>
      <w:pPr>
        <w:sectPr>
          <w:pgSz w:w="11900" w:h="16838" w:orient="portrait"/>
          <w:cols w:equalWidth="0" w:num="2">
            <w:col w:w="6280" w:space="280"/>
            <w:col w:w="468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963-0200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Symbol(s)</w:t>
            </w: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2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WATT</w:t>
            </w:r>
          </w:p>
        </w:tc>
        <w:tc>
          <w:tcPr>
            <w:tcW w:w="2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right="1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4" w:lineRule="exact"/>
        <w:rPr>
          <w:sz w:val="24"/>
          <w:szCs w:val="24"/>
          <w:color w:val="auto"/>
        </w:rPr>
      </w:pPr>
    </w:p>
    <w:p>
      <w:pPr>
        <w:ind w:right="8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40" w:right="106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7, 2022, there were 78,083,343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PART I - FINANCIAL INFORMATION</w:t>
            </w:r>
          </w:p>
        </w:tc>
        <w:tc>
          <w:tcPr>
            <w:tcW w:w="610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1560" w:type="dxa"/>
            <w:vAlign w:val="bottom"/>
            <w:tcBorders>
              <w:bottom w:val="single" w:sz="8" w:color="0000EE"/>
            </w:tcBorders>
            <w:gridSpan w:val="5"/>
          </w:tcPr>
          <w:p>
            <w:pPr>
              <w:ind w:left="40"/>
              <w:spacing w:after="0"/>
              <w:rPr>
                <w:sz w:val="20"/>
                <w:szCs w:val="20"/>
                <w:color w:val="auto"/>
              </w:rPr>
            </w:pPr>
            <w:r>
              <w:rPr>
                <w:rFonts w:ascii="Arial" w:cs="Arial" w:eastAsia="Arial" w:hAnsi="Arial"/>
                <w:sz w:val="18"/>
                <w:szCs w:val="18"/>
                <w:color w:val="0000EE"/>
                <w:w w:val="89"/>
              </w:rPr>
              <w:t>Financial Statements</w:t>
            </w:r>
          </w:p>
        </w:tc>
        <w:tc>
          <w:tcPr>
            <w:tcW w:w="69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4"/>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8500" w:type="dxa"/>
            <w:vAlign w:val="bottom"/>
            <w:gridSpan w:val="14"/>
          </w:tcPr>
          <w:p>
            <w:pPr>
              <w:ind w:left="40"/>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4340" w:type="dxa"/>
            <w:vAlign w:val="bottom"/>
            <w:tcBorders>
              <w:top w:val="single" w:sz="8" w:color="0000EE"/>
              <w:bottom w:val="single" w:sz="8" w:color="0000EE"/>
            </w:tcBorders>
            <w:gridSpan w:val="11"/>
          </w:tcPr>
          <w:p>
            <w:pPr>
              <w:ind w:left="40"/>
              <w:spacing w:after="0"/>
              <w:rPr>
                <w:sz w:val="20"/>
                <w:szCs w:val="20"/>
                <w:color w:val="auto"/>
              </w:rPr>
            </w:pPr>
            <w:r>
              <w:rPr>
                <w:rFonts w:ascii="Arial" w:cs="Arial" w:eastAsia="Arial" w:hAnsi="Arial"/>
                <w:sz w:val="18"/>
                <w:szCs w:val="18"/>
                <w:color w:val="0000EE"/>
                <w:w w:val="92"/>
              </w:rPr>
              <w:t>Quantitative and Qualitative Disclosure About Market Risk</w:t>
            </w:r>
          </w:p>
        </w:tc>
        <w:tc>
          <w:tcPr>
            <w:tcW w:w="2160" w:type="dxa"/>
            <w:vAlign w:val="bottom"/>
            <w:tcBorders>
              <w:top w:val="single" w:sz="8" w:color="0000EE"/>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1840" w:type="dxa"/>
            <w:vAlign w:val="bottom"/>
            <w:tcBorders>
              <w:bottom w:val="single" w:sz="8" w:color="0000EE"/>
            </w:tcBorders>
            <w:gridSpan w:val="7"/>
          </w:tcPr>
          <w:p>
            <w:pPr>
              <w:ind w:left="40"/>
              <w:spacing w:after="0"/>
              <w:rPr>
                <w:sz w:val="20"/>
                <w:szCs w:val="20"/>
                <w:color w:val="auto"/>
              </w:rPr>
            </w:pPr>
            <w:r>
              <w:rPr>
                <w:rFonts w:ascii="Arial" w:cs="Arial" w:eastAsia="Arial" w:hAnsi="Arial"/>
                <w:sz w:val="18"/>
                <w:szCs w:val="18"/>
                <w:color w:val="0000EE"/>
                <w:w w:val="89"/>
              </w:rPr>
              <w:t>Controls and Procedures</w:t>
            </w:r>
          </w:p>
        </w:tc>
        <w:tc>
          <w:tcPr>
            <w:tcW w:w="66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4"/>
        </w:trPr>
        <w:tc>
          <w:tcPr>
            <w:tcW w:w="9060" w:type="dxa"/>
            <w:vAlign w:val="bottom"/>
            <w:gridSpan w:val="15"/>
          </w:tcPr>
          <w:p>
            <w:pPr>
              <w:spacing w:after="0"/>
              <w:rPr>
                <w:sz w:val="20"/>
                <w:szCs w:val="20"/>
                <w:color w:val="auto"/>
              </w:rPr>
            </w:pPr>
            <w:r>
              <w:rPr>
                <w:rFonts w:ascii="Arial" w:cs="Arial" w:eastAsia="Arial" w:hAnsi="Arial"/>
                <w:sz w:val="18"/>
                <w:szCs w:val="18"/>
                <w:color w:val="0000EE"/>
              </w:rPr>
              <w:t>PART II – 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2100" w:type="dxa"/>
            <w:vAlign w:val="bottom"/>
            <w:tcBorders>
              <w:top w:val="single" w:sz="8" w:color="0000EE"/>
            </w:tcBorders>
            <w:gridSpan w:val="8"/>
          </w:tcPr>
          <w:p>
            <w:pPr>
              <w:ind w:left="40"/>
              <w:spacing w:after="0"/>
              <w:rPr>
                <w:sz w:val="20"/>
                <w:szCs w:val="20"/>
                <w:color w:val="auto"/>
              </w:rPr>
            </w:pPr>
            <w:r>
              <w:rPr>
                <w:rFonts w:ascii="Arial" w:cs="Arial" w:eastAsia="Arial" w:hAnsi="Arial"/>
                <w:sz w:val="18"/>
                <w:szCs w:val="18"/>
                <w:color w:val="0000EE"/>
              </w:rPr>
              <w:t>Legal Proceedings</w:t>
            </w:r>
          </w:p>
        </w:tc>
        <w:tc>
          <w:tcPr>
            <w:tcW w:w="640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19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Item 1A. Risk Factors</w:t>
            </w:r>
          </w:p>
        </w:tc>
        <w:tc>
          <w:tcPr>
            <w:tcW w:w="712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4"/>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8500" w:type="dxa"/>
            <w:vAlign w:val="bottom"/>
            <w:gridSpan w:val="14"/>
          </w:tcPr>
          <w:p>
            <w:pPr>
              <w:ind w:left="40"/>
              <w:spacing w:after="0"/>
              <w:rPr>
                <w:sz w:val="20"/>
                <w:szCs w:val="20"/>
                <w:color w:val="auto"/>
              </w:rPr>
            </w:pPr>
            <w:r>
              <w:rPr>
                <w:rFonts w:ascii="Arial" w:cs="Arial" w:eastAsia="Arial" w:hAnsi="Arial"/>
                <w:sz w:val="18"/>
                <w:szCs w:val="18"/>
                <w:color w:val="0000EE"/>
              </w:rPr>
              <w:t>Recent Sales of Unregistered Securities; Use of Proceeds from Registered Securities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2380" w:type="dxa"/>
            <w:vAlign w:val="bottom"/>
            <w:tcBorders>
              <w:top w:val="single" w:sz="8" w:color="0000EE"/>
              <w:bottom w:val="single" w:sz="8" w:color="0000EE"/>
            </w:tcBorders>
            <w:gridSpan w:val="9"/>
          </w:tcPr>
          <w:p>
            <w:pPr>
              <w:ind w:left="40"/>
              <w:spacing w:after="0"/>
              <w:rPr>
                <w:sz w:val="20"/>
                <w:szCs w:val="20"/>
                <w:color w:val="auto"/>
              </w:rPr>
            </w:pPr>
            <w:r>
              <w:rPr>
                <w:rFonts w:ascii="Arial" w:cs="Arial" w:eastAsia="Arial" w:hAnsi="Arial"/>
                <w:sz w:val="18"/>
                <w:szCs w:val="18"/>
                <w:color w:val="0000EE"/>
                <w:w w:val="90"/>
              </w:rPr>
              <w:t>Defaults Upon Senior Securities</w:t>
            </w:r>
          </w:p>
        </w:tc>
        <w:tc>
          <w:tcPr>
            <w:tcW w:w="3740" w:type="dxa"/>
            <w:vAlign w:val="bottom"/>
            <w:tcBorders>
              <w:top w:val="single" w:sz="8" w:color="0000EE"/>
            </w:tcBorders>
            <w:gridSpan w:val="3"/>
          </w:tcPr>
          <w:p>
            <w:pPr>
              <w:spacing w:after="0"/>
              <w:rPr>
                <w:sz w:val="24"/>
                <w:szCs w:val="24"/>
                <w:color w:val="auto"/>
              </w:rPr>
            </w:pPr>
          </w:p>
        </w:tc>
        <w:tc>
          <w:tcPr>
            <w:tcW w:w="23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4"/>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1820" w:type="dxa"/>
            <w:vAlign w:val="bottom"/>
            <w:tcBorders>
              <w:bottom w:val="single" w:sz="8" w:color="0000EE"/>
            </w:tcBorders>
            <w:gridSpan w:val="6"/>
          </w:tcPr>
          <w:p>
            <w:pPr>
              <w:ind w:left="40"/>
              <w:spacing w:after="0"/>
              <w:rPr>
                <w:sz w:val="20"/>
                <w:szCs w:val="20"/>
                <w:color w:val="auto"/>
              </w:rPr>
            </w:pPr>
            <w:r>
              <w:rPr>
                <w:rFonts w:ascii="Arial" w:cs="Arial" w:eastAsia="Arial" w:hAnsi="Arial"/>
                <w:sz w:val="18"/>
                <w:szCs w:val="18"/>
                <w:color w:val="0000EE"/>
                <w:w w:val="91"/>
              </w:rPr>
              <w:t>Mine Safety Disclosures</w:t>
            </w:r>
          </w:p>
        </w:tc>
        <w:tc>
          <w:tcPr>
            <w:tcW w:w="668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8500" w:type="dxa"/>
            <w:vAlign w:val="bottom"/>
            <w:gridSpan w:val="14"/>
          </w:tcPr>
          <w:p>
            <w:pPr>
              <w:ind w:left="40"/>
              <w:spacing w:after="0"/>
              <w:rPr>
                <w:sz w:val="20"/>
                <w:szCs w:val="20"/>
                <w:color w:val="auto"/>
              </w:rPr>
            </w:pPr>
            <w:r>
              <w:rPr>
                <w:rFonts w:ascii="Arial" w:cs="Arial" w:eastAsia="Arial" w:hAnsi="Arial"/>
                <w:sz w:val="18"/>
                <w:szCs w:val="18"/>
                <w:color w:val="0000EE"/>
              </w:rPr>
              <w:t>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1360" w:type="dxa"/>
            <w:vAlign w:val="bottom"/>
            <w:tcBorders>
              <w:top w:val="single" w:sz="8" w:color="0000EE"/>
            </w:tcBorders>
            <w:gridSpan w:val="3"/>
          </w:tcPr>
          <w:p>
            <w:pPr>
              <w:ind w:left="40"/>
              <w:spacing w:after="0"/>
              <w:rPr>
                <w:sz w:val="20"/>
                <w:szCs w:val="20"/>
                <w:color w:val="auto"/>
              </w:rPr>
            </w:pPr>
            <w:r>
              <w:rPr>
                <w:rFonts w:ascii="Arial" w:cs="Arial" w:eastAsia="Arial" w:hAnsi="Arial"/>
                <w:sz w:val="18"/>
                <w:szCs w:val="18"/>
                <w:color w:val="0000EE"/>
              </w:rPr>
              <w:t>Exhibits</w:t>
            </w:r>
          </w:p>
        </w:tc>
        <w:tc>
          <w:tcPr>
            <w:tcW w:w="7140" w:type="dxa"/>
            <w:vAlign w:val="bottom"/>
            <w:gridSpan w:val="11"/>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350"/>
        </w:trPr>
        <w:tc>
          <w:tcPr>
            <w:tcW w:w="5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w w:val="99"/>
              </w:rPr>
              <w:t>September 30, 2022</w:t>
            </w:r>
          </w:p>
        </w:tc>
        <w:tc>
          <w:tcPr>
            <w:tcW w:w="180" w:type="dxa"/>
            <w:vAlign w:val="bottom"/>
          </w:tcPr>
          <w:p>
            <w:pPr>
              <w:spacing w:after="0"/>
              <w:rPr>
                <w:sz w:val="13"/>
                <w:szCs w:val="13"/>
                <w:color w:val="auto"/>
              </w:rPr>
            </w:pPr>
          </w:p>
        </w:tc>
        <w:tc>
          <w:tcPr>
            <w:tcW w:w="15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w w:val="98"/>
              </w:rPr>
              <w:t>December 31, 2021</w:t>
            </w:r>
          </w:p>
        </w:tc>
        <w:tc>
          <w:tcPr>
            <w:tcW w:w="100" w:type="dxa"/>
            <w:vAlign w:val="bottom"/>
          </w:tcPr>
          <w:p>
            <w:pPr>
              <w:spacing w:after="0"/>
              <w:rPr>
                <w:sz w:val="13"/>
                <w:szCs w:val="13"/>
                <w:color w:val="auto"/>
              </w:rPr>
            </w:pPr>
          </w:p>
        </w:tc>
      </w:tr>
      <w:tr>
        <w:trPr>
          <w:trHeight w:val="156"/>
        </w:trPr>
        <w:tc>
          <w:tcPr>
            <w:tcW w:w="5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300" w:type="dxa"/>
            <w:vAlign w:val="bottom"/>
            <w:shd w:val="clear" w:color="auto" w:fill="CFF0FC"/>
          </w:tcPr>
          <w:p>
            <w:pPr>
              <w:ind w:left="3320"/>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30,355,468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49,071,414</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243,320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283,602</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1,105,254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874,886</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31,868,468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50,229,902</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510,197</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2,139,949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618,985</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shd w:val="clear" w:color="auto" w:fill="CFF0FC"/>
          </w:tcPr>
          <w:p>
            <w:pPr>
              <w:spacing w:after="0"/>
              <w:rPr>
                <w:sz w:val="19"/>
                <w:szCs w:val="19"/>
                <w:color w:val="auto"/>
              </w:rPr>
            </w:pPr>
          </w:p>
        </w:tc>
      </w:tr>
      <w:tr>
        <w:trPr>
          <w:trHeight w:val="263"/>
        </w:trPr>
        <w:tc>
          <w:tcPr>
            <w:tcW w:w="5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34,456,808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51,371,075</w:t>
            </w:r>
          </w:p>
        </w:tc>
        <w:tc>
          <w:tcPr>
            <w:tcW w:w="100" w:type="dxa"/>
            <w:vAlign w:val="bottom"/>
            <w:tcBorders>
              <w:bottom w:val="single" w:sz="8" w:color="CFF0FC"/>
            </w:tcBorders>
          </w:tcPr>
          <w:p>
            <w:pPr>
              <w:spacing w:after="0"/>
              <w:rPr>
                <w:sz w:val="22"/>
                <w:szCs w:val="22"/>
                <w:color w:val="auto"/>
              </w:rPr>
            </w:pPr>
          </w:p>
        </w:tc>
      </w:tr>
      <w:tr>
        <w:trPr>
          <w:trHeight w:val="210"/>
        </w:trPr>
        <w:tc>
          <w:tcPr>
            <w:tcW w:w="7380" w:type="dxa"/>
            <w:vAlign w:val="bottom"/>
            <w:gridSpan w:val="2"/>
            <w:shd w:val="clear" w:color="auto" w:fill="CFF0FC"/>
          </w:tcPr>
          <w:p>
            <w:pPr>
              <w:ind w:left="17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893,783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1,205,957</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1,524,241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1,523,317</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severance expense</w:t>
            </w: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580,034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975,439</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709,014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628,307</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55,841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3,762,913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4,346,384</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long-term portion</w:t>
            </w:r>
          </w:p>
        </w:tc>
        <w:tc>
          <w:tcPr>
            <w:tcW w:w="2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1,436,339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40,413</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5,199,252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4,386,797</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Stockholders’ equity:</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Preferred Stock, $0.00001 par value, 10,000,000 shares authorized at</w:t>
            </w:r>
          </w:p>
        </w:tc>
        <w:tc>
          <w:tcPr>
            <w:tcW w:w="22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w w:val="90"/>
              </w:rPr>
              <w:t>September 30, 2022 and</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95"/>
              </w:rPr>
              <w:t>December 31, 2021; no shares issued or outstanding at September 30, 2022 and December 31,</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2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15"/>
        </w:trPr>
        <w:tc>
          <w:tcPr>
            <w:tcW w:w="7580" w:type="dxa"/>
            <w:vAlign w:val="bottom"/>
            <w:gridSpan w:val="3"/>
          </w:tcPr>
          <w:p>
            <w:pPr>
              <w:ind w:left="260"/>
              <w:spacing w:after="0"/>
              <w:rPr>
                <w:sz w:val="20"/>
                <w:szCs w:val="20"/>
                <w:color w:val="auto"/>
              </w:rPr>
            </w:pPr>
            <w:r>
              <w:rPr>
                <w:rFonts w:ascii="Arial" w:cs="Arial" w:eastAsia="Arial" w:hAnsi="Arial"/>
                <w:sz w:val="18"/>
                <w:szCs w:val="18"/>
                <w:color w:val="auto"/>
                <w:w w:val="94"/>
              </w:rPr>
              <w:t>Common Stock, $0.00001 par value, 200,000,000 shares authorized at September 30, 2022 and</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gridSpan w:val="3"/>
          </w:tcPr>
          <w:p>
            <w:pPr>
              <w:ind w:left="260"/>
              <w:spacing w:after="0"/>
              <w:rPr>
                <w:sz w:val="20"/>
                <w:szCs w:val="20"/>
                <w:color w:val="auto"/>
              </w:rPr>
            </w:pPr>
            <w:r>
              <w:rPr>
                <w:rFonts w:ascii="Arial" w:cs="Arial" w:eastAsia="Arial" w:hAnsi="Arial"/>
                <w:sz w:val="18"/>
                <w:szCs w:val="18"/>
                <w:color w:val="auto"/>
                <w:w w:val="93"/>
              </w:rPr>
              <w:t>December 31, 2021; 77,722,402 and 76,667,205 shares issued and outstanding at September 30,</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2022 and December 31, 2021, respectively.</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385,792,159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383,383,550</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(356,535,381)</w:t>
            </w:r>
          </w:p>
        </w:tc>
        <w:tc>
          <w:tcPr>
            <w:tcW w:w="1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(336,400,039)</w:t>
            </w:r>
          </w:p>
        </w:tc>
      </w:tr>
      <w:tr>
        <w:trPr>
          <w:trHeight w:val="223"/>
        </w:trPr>
        <w:tc>
          <w:tcPr>
            <w:tcW w:w="53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29,257,556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46,984,278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34,456,808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51,371,075</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5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center"/>
              <w:ind w:right="301"/>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center"/>
              <w:ind w:right="301"/>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223,201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2,885,830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4,737,159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9,622,886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1,922,128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3,865,322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1,931,386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1,990,266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5,983,845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6,934,410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Severance expense</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4,017,172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6,330,916</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12,666,725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21,000,190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32,541,376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(6,107,715)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(12,465,361)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(20,328,057)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(32,009,987)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142,840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142,840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(5,964,875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(12,464,526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(20,135,342</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(32,006,118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77,595,878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63,014,246</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77,219,737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62,225,801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20" w:type="dxa"/>
            <w:vAlign w:val="bottom"/>
            <w:gridSpan w:val="3"/>
            <w:vMerge w:val="restart"/>
          </w:tcPr>
          <w:p>
            <w:pPr>
              <w:jc w:val="right"/>
              <w:ind w:right="42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2022</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76,667,205</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767</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383,383,550</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(336,400,039)</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46,984,278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10,313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units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745,620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745,620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5"/>
                <w:szCs w:val="15"/>
                <w:color w:val="auto"/>
              </w:rPr>
              <w:t>stock purchase plan ("ESPP")</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40,973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40,973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387,823</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104,217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(7,152,718)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(7,152,718)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5"/>
                <w:szCs w:val="15"/>
                <w:color w:val="auto"/>
              </w:rPr>
              <w:t>Balance at March 31, 2022 (unaudited)</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77,055,028</w:t>
            </w:r>
          </w:p>
        </w:tc>
        <w:tc>
          <w:tcPr>
            <w:tcW w:w="1080" w:type="dxa"/>
            <w:vAlign w:val="bottom"/>
            <w:gridSpan w:val="2"/>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w w:val="95"/>
              </w:rPr>
              <w:t>771</w:t>
            </w:r>
          </w:p>
        </w:tc>
        <w:tc>
          <w:tcPr>
            <w:tcW w:w="3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384,284,669</w:t>
            </w:r>
          </w:p>
        </w:tc>
        <w:tc>
          <w:tcPr>
            <w:tcW w:w="140" w:type="dxa"/>
            <w:vAlign w:val="bottom"/>
          </w:tcPr>
          <w:p>
            <w:pPr>
              <w:spacing w:after="0"/>
              <w:rPr>
                <w:sz w:val="14"/>
                <w:szCs w:val="14"/>
                <w:color w:val="auto"/>
              </w:rPr>
            </w:pP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(343,552,757)</w:t>
            </w: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40,732,683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601,029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601,029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41,428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tcPr>
          <w:p>
            <w:pPr>
              <w:jc w:val="right"/>
              <w:spacing w:after="0"/>
              <w:rPr>
                <w:sz w:val="20"/>
                <w:szCs w:val="20"/>
                <w:color w:val="auto"/>
              </w:rPr>
            </w:pPr>
            <w:r>
              <w:rPr>
                <w:rFonts w:ascii="Arial" w:cs="Arial" w:eastAsia="Arial" w:hAnsi="Arial"/>
                <w:sz w:val="15"/>
                <w:szCs w:val="15"/>
                <w:color w:val="auto"/>
              </w:rPr>
              <w:t>215,746</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193,797</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60,509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(7,017,749)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(7,017,749)</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June 30, 2022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77,464,571</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775</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385,008,963</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(350,570,506)</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34,439,232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Stock-based compensation -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21,564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21,564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586,652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586,652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Stock-based compensation - performance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5"/>
                <w:szCs w:val="15"/>
                <w:color w:val="auto"/>
              </w:rPr>
              <w:t>share units ("PSUs")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67,922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22,084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tcPr>
          <w:p>
            <w:pPr>
              <w:jc w:val="right"/>
              <w:spacing w:after="0"/>
              <w:rPr>
                <w:sz w:val="20"/>
                <w:szCs w:val="20"/>
                <w:color w:val="auto"/>
              </w:rPr>
            </w:pPr>
            <w:r>
              <w:rPr>
                <w:rFonts w:ascii="Arial" w:cs="Arial" w:eastAsia="Arial" w:hAnsi="Arial"/>
                <w:sz w:val="15"/>
                <w:szCs w:val="15"/>
                <w:color w:val="auto"/>
              </w:rPr>
              <w:t>257,831</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84,977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(5,964,875)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(5,964,875)</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September 30, 2022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77,722,402</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778</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385,792,159</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(356,535,381)</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29,257,556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22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69"/>
        </w:trPr>
        <w:tc>
          <w:tcPr>
            <w:tcW w:w="45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5"/>
                <w:szCs w:val="15"/>
                <w:b w:val="1"/>
                <w:bCs w:val="1"/>
                <w:color w:val="auto"/>
                <w:w w:val="95"/>
              </w:rPr>
              <w:t>Capital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4"/>
              <w:spacing w:after="0" w:line="169" w:lineRule="exact"/>
              <w:rPr>
                <w:sz w:val="20"/>
                <w:szCs w:val="20"/>
                <w:color w:val="auto"/>
              </w:rPr>
            </w:pPr>
            <w:r>
              <w:rPr>
                <w:rFonts w:ascii="Arial" w:cs="Arial" w:eastAsia="Arial" w:hAnsi="Arial"/>
                <w:sz w:val="15"/>
                <w:szCs w:val="15"/>
                <w:b w:val="1"/>
                <w:bCs w:val="1"/>
                <w:color w:val="auto"/>
                <w:w w:val="95"/>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
              <w:spacing w:after="0" w:line="169" w:lineRule="exact"/>
              <w:rPr>
                <w:sz w:val="20"/>
                <w:szCs w:val="20"/>
                <w:color w:val="auto"/>
              </w:rPr>
            </w:pPr>
            <w:r>
              <w:rPr>
                <w:rFonts w:ascii="Arial" w:cs="Arial" w:eastAsia="Arial" w:hAnsi="Arial"/>
                <w:sz w:val="15"/>
                <w:szCs w:val="15"/>
                <w:b w:val="1"/>
                <w:bCs w:val="1"/>
                <w:color w:val="auto"/>
                <w:w w:val="95"/>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2021</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61,292,412</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614</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344,024,638</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(294,972,746)</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49,052,506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2,088,910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2,088,910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tcPr>
          <w:p>
            <w:pPr>
              <w:jc w:val="right"/>
              <w:spacing w:after="0"/>
              <w:rPr>
                <w:sz w:val="20"/>
                <w:szCs w:val="20"/>
                <w:color w:val="auto"/>
              </w:rPr>
            </w:pPr>
            <w:r>
              <w:rPr>
                <w:rFonts w:ascii="Arial" w:cs="Arial" w:eastAsia="Arial" w:hAnsi="Arial"/>
                <w:sz w:val="15"/>
                <w:szCs w:val="15"/>
                <w:color w:val="auto"/>
              </w:rPr>
              <w:t>627,412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(8,525,763)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(8,525,763)</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March 31, 2021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61,919,824</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620</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346,287,871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(303,498,509)</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42,789,982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1,471,826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1,471,826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PSUs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2,695,847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2,695,847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60,651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60,651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298,641</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PSUs</w:t>
            </w:r>
          </w:p>
        </w:tc>
        <w:tc>
          <w:tcPr>
            <w:tcW w:w="1140" w:type="dxa"/>
            <w:vAlign w:val="bottom"/>
          </w:tcPr>
          <w:p>
            <w:pPr>
              <w:jc w:val="right"/>
              <w:spacing w:after="0"/>
              <w:rPr>
                <w:sz w:val="20"/>
                <w:szCs w:val="20"/>
                <w:color w:val="auto"/>
              </w:rPr>
            </w:pPr>
            <w:r>
              <w:rPr>
                <w:rFonts w:ascii="Arial" w:cs="Arial" w:eastAsia="Arial" w:hAnsi="Arial"/>
                <w:sz w:val="15"/>
                <w:szCs w:val="15"/>
                <w:color w:val="auto"/>
              </w:rPr>
              <w:t>494,608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155,064</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120,232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(11,015,829)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(11,015,829)</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June 30, 2021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62,868,137</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630</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350,636,419</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(314,514,338)</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36,122,711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284,994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284,994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1,010,990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1,010,990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PSUs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843,741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843,741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76,814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76,814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tcPr>
          <w:p>
            <w:pPr>
              <w:jc w:val="right"/>
              <w:spacing w:after="0"/>
              <w:rPr>
                <w:sz w:val="20"/>
                <w:szCs w:val="20"/>
                <w:color w:val="auto"/>
              </w:rPr>
            </w:pPr>
            <w:r>
              <w:rPr>
                <w:rFonts w:ascii="Arial" w:cs="Arial" w:eastAsia="Arial" w:hAnsi="Arial"/>
                <w:sz w:val="15"/>
                <w:szCs w:val="15"/>
                <w:color w:val="auto"/>
              </w:rPr>
              <w:t>287,135</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124,801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124,801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(12,464,526)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(12,464,526)</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September 30, 2021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63,155,272</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633</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352,977,756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(326,978,864)</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25,999,525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Nine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67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(20,135,342)</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(32,006,118)</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Stock based compensation</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2,158,915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8,591,089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lease right-of-use assets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550,372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Bad debt expense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(111,683)</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(164,426)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(230,368)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(72,074)</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(312,174)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(174,606)</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Accrued severance expense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(395,405)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(594,703)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(636,984)</w:t>
            </w: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(18,838,453)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(22,498,803)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(127,198)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(310,718)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contributions to employee stock purchase plan</w:t>
            </w:r>
          </w:p>
        </w:tc>
        <w:tc>
          <w:tcPr>
            <w:tcW w:w="1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249,705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(18,715,946)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(22,447,473)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 - beginning</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49,071,414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50,729,661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and cash equivalents - ending</w:t>
            </w:r>
          </w:p>
        </w:tc>
        <w:tc>
          <w:tcPr>
            <w:tcW w:w="10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30,355,468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28,282,188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60"/>
              <w:spacing w:after="0"/>
              <w:rPr>
                <w:sz w:val="20"/>
                <w:szCs w:val="20"/>
                <w:color w:val="auto"/>
              </w:rPr>
            </w:pPr>
            <w:r>
              <w:rPr>
                <w:rFonts w:ascii="Arial" w:cs="Arial" w:eastAsia="Arial" w:hAnsi="Arial"/>
                <w:sz w:val="18"/>
                <w:szCs w:val="18"/>
                <w:color w:val="auto"/>
              </w:rPr>
              <w:t>Increase in operating lease right-of-use assets and operating lease liabilities</w:t>
            </w:r>
          </w:p>
        </w:tc>
        <w:tc>
          <w:tcPr>
            <w:tcW w:w="1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2,071,336</w:t>
            </w:r>
          </w:p>
        </w:tc>
        <w:tc>
          <w:tcPr>
            <w:tcW w:w="280" w:type="dxa"/>
            <w:vAlign w:val="bottom"/>
          </w:tcPr>
          <w:p>
            <w:pPr>
              <w:spacing w:after="0"/>
              <w:rPr>
                <w:sz w:val="23"/>
                <w:szCs w:val="23"/>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issued for RSUs</w:t>
            </w: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260"/>
              <w:spacing w:after="0"/>
              <w:rPr>
                <w:sz w:val="20"/>
                <w:szCs w:val="20"/>
                <w:color w:val="auto"/>
              </w:rPr>
            </w:pPr>
            <w:r>
              <w:rPr>
                <w:rFonts w:ascii="Arial" w:cs="Arial" w:eastAsia="Arial" w:hAnsi="Arial"/>
                <w:sz w:val="18"/>
                <w:szCs w:val="18"/>
                <w:color w:val="auto"/>
              </w:rPr>
              <w:t>Common stock issued for PSUs</w:t>
            </w:r>
          </w:p>
        </w:tc>
        <w:tc>
          <w:tcPr>
            <w:tcW w:w="14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2022, the Company recorded revenue of $223,201 and $672,133, respectively. During the three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2021, the Company recorded revenue of $201,364 and $531,389, respectively.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the Company recorded net losses of $5,964,875 and $20,135,342, respectively. During the three and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2021, the Company recorded net losses of $12,464,526 and $32,006,118, respectively. Net cash used in operating activities was $18,838,453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$22,498,803 for the nine months ended September 30, 2022 and 2021, respectively. The Company is currently meeting its liquidity requirements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proceeds of securities offerings that raised net proceeds of $53,556,202 during 2020 and $27,043,751 during the fourth quarter of 2021, proceeds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Company’s employee stock purchase plan (the “ESPP”), along with payments received from customers.</w:t>
      </w:r>
    </w:p>
    <w:p>
      <w:pPr>
        <w:spacing w:after="0" w:line="10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As of September 30, 2022, the Company had cash and cash equivalents of $30,355,468. The Company expects that cash and cash equivalents as of September 30, 2022, together with anticipated revenues, will be sufficient to fund the Company’s operations through November 2023.</w:t>
      </w:r>
    </w:p>
    <w:p>
      <w:pPr>
        <w:spacing w:after="0" w:line="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unaudited condensed interim financial statements should be read in conjunction with the audited financial statements and notes thereto for the fiscal year ended December 31, 2021 included in the Company's Annual Report on Form 10-K for the fiscal year ended December 31, 2021, filed with the SEC on March 23, 2022. The accounting policies used in preparing these unaudited condensed interim financial statements are consistent with those described in the Company’s December 31, 2021 audited financial statements</w:t>
      </w:r>
      <w:r>
        <w:rPr>
          <w:rFonts w:ascii="Arial" w:cs="Arial" w:eastAsia="Arial" w:hAnsi="Arial"/>
          <w:sz w:val="18"/>
          <w:szCs w:val="18"/>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significant estimates and assumptions include the valuation of stock-based compensation instruments, recognition of revenue, inventory valuation, the useful lives of long-lived assets,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performance obligations are satisfied.</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revenue comes from its single segment of wireless charging system solutions. The wireless charging system revenue consists of revenue from product development projects and production-level systems. During the three and nine months ended September 30, 2022, the Company recognized $223,201 and $672,133, respectively, in revenue. During the three and nine months ended September 30, 2021, the Company recognized $201,364 and $531,389, respectively, in revenue.</w:t>
      </w:r>
    </w:p>
    <w:p>
      <w:pPr>
        <w:spacing w:after="0" w:line="16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3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records revenue associated with the sale of production-level systems at the point in time at which control over the product is transferred to the customer. The Company records the expense related to the sales of these systems as cost of revenue during the period that the product is transferred to the customer.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3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 follows ASC 330,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are charged to operations as incurred. For internally developed patents, all patent costs are expensed as incurred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Patent application costs, which are generally legal costs, are expensed as research and development costs until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as the future economic benefits of such patents become more certain. The Company incurred research and development costs of $2,885,830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$4,737,159 for the three months ended September 30, 2022 and 2021, respectively. The Company incurred research and development costs of $9,622,886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$15,432,097 for the nine months ended September 30, 2022 and 2021,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September 30, 2022, no liability for unrecognized tax benefits was required to be reported. The guidance from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also discusses the classification of related interest and penalties on income taxes. The Company’s policy is to record interest and penalties on uncertain tax positions as a component of income tax expense. No interest or penalties were recorded during the three and nine months ended September 30, 2022 or 2021. The Company files income tax returns with the United States and California governments.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6,346,398 and 5,843,167 for the three months ended September 30, 2022 and 2021, respectively, and 6,346,398 and 5,843,167 for the nine months ended September 30, 2022 and 2021, respectively because their inclusion would be anti-dilutive.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80" w:type="dxa"/>
            <w:vAlign w:val="bottom"/>
            <w:gridSpan w:val="3"/>
          </w:tcPr>
          <w:p>
            <w:pPr>
              <w:jc w:val="center"/>
              <w:ind w:left="797"/>
              <w:spacing w:after="0"/>
              <w:rPr>
                <w:sz w:val="20"/>
                <w:szCs w:val="20"/>
                <w:color w:val="auto"/>
              </w:rPr>
            </w:pPr>
            <w:r>
              <w:rPr>
                <w:rFonts w:ascii="Arial" w:cs="Arial" w:eastAsia="Arial" w:hAnsi="Arial"/>
                <w:sz w:val="14"/>
                <w:szCs w:val="14"/>
                <w:b w:val="1"/>
                <w:bCs w:val="1"/>
                <w:color w:val="auto"/>
                <w:w w:val="94"/>
              </w:rPr>
              <w:t>For the Three Months</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3"/>
          </w:tcPr>
          <w:p>
            <w:pPr>
              <w:ind w:left="960"/>
              <w:spacing w:after="0"/>
              <w:rPr>
                <w:sz w:val="20"/>
                <w:szCs w:val="20"/>
                <w:color w:val="auto"/>
              </w:rPr>
            </w:pPr>
            <w:r>
              <w:rPr>
                <w:rFonts w:ascii="Arial" w:cs="Arial" w:eastAsia="Arial" w:hAnsi="Arial"/>
                <w:sz w:val="14"/>
                <w:szCs w:val="14"/>
                <w:b w:val="1"/>
                <w:bCs w:val="1"/>
                <w:color w:val="auto"/>
                <w:w w:val="97"/>
              </w:rPr>
              <w:t>For the Nine Months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2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91"/>
              </w:rPr>
              <w:t>Ended September 30,</w:t>
            </w: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4"/>
              </w:rPr>
              <w:t>Ended 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private investors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300,262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550,985</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300,262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550,985</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2,474,347</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1,183,951</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2,474,347</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1,183,951</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PSUs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823,442</w:t>
            </w:r>
          </w:p>
        </w:tc>
        <w:tc>
          <w:tcPr>
            <w:tcW w:w="3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823,442</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potentially dilutive securities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6,346,398</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5,843,167</w:t>
            </w:r>
          </w:p>
        </w:tc>
        <w:tc>
          <w:tcPr>
            <w:tcW w:w="3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6,346,398</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above includes 1,618,123 warrants that subsequently expired on October 6, 2022, which had an exercise price of $23.00 and 1,666,666 warrants expiring on March 1, 2024, which have an exercise price of $10.00.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7"/>
          <w:szCs w:val="17"/>
          <w:i w:val="1"/>
          <w:iCs w:val="1"/>
          <w:color w:val="auto"/>
        </w:rPr>
        <w:t>Operating Leases</w:t>
      </w:r>
      <w:r>
        <w:rPr>
          <w:rFonts w:ascii="Arial" w:cs="Arial" w:eastAsia="Arial" w:hAnsi="Arial"/>
          <w:sz w:val="17"/>
          <w:szCs w:val="17"/>
          <w:color w:val="auto"/>
        </w:rPr>
        <w:t xml:space="preserve"> for further discussion of the Company’s operating leases.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September 30, 2022, through the date which the financial statements are available to be 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 May 20, 2022, the Company signed a lease amendment to the existing lease of its office space at its corporate headquarters in San Jose,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extending the term of the lease for an additional three years. Upon signing the lease amendment, the Company recorded a new ROU lease asset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$2,071,336 and operating lease liability of $2,071,336, using a present value discount rate of 3.0%. Upon expiration of the original lease on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the new monthly lease payment starting October 1, 2022 is $58,903, subject to annual escalations up to a maximum monthly lease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$62,490.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25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2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September 22, 2021, the Company signed a new Costa Mesa lease to lease a new, distinct office space in a different building with the same landlord. Per the lease, the lease commencement date is October 1, 2021 and the expiry date is September 30, 2023. The Company did not have control of the new office space until October 2021, at which time the Company recorded a new ROU lease asset of $104,563 and operating lease liability of $104,563. The new Costa Mesa lease has an initial monthly lease payment of $4,369 starting October 1, 2021 and is subject to an annual escalation up to a maximum monthly lease payment of $4,522.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5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 xml:space="preserve">The Company follows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and recognizes the required ROU assets and operating lease liabilities on its balance sheet. The Company anticipates having future total lease payments of $2,239,006 during the period from the fourth quarter of 2022 to the third quarter of 2025. As of September 30, 2022, the Company has total operating lease ROU assets of $2,139,949, current portion of operating lease liabilities of $709,014 and long-term portion of operating lease liabilities of $1,436,339. The weighted average remaining lease term is 3.0 years as of September 30, 2022.</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undiscounted cash flows to lease liabilities recognized as of September 30, 2022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55"/>
        </w:trPr>
        <w:tc>
          <w:tcPr>
            <w:tcW w:w="90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30"/>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190,273</w:t>
            </w:r>
          </w:p>
        </w:tc>
        <w:tc>
          <w:tcPr>
            <w:tcW w:w="100" w:type="dxa"/>
            <w:vAlign w:val="bottom"/>
            <w:shd w:val="clear" w:color="auto" w:fill="CFF0FC"/>
          </w:tcPr>
          <w:p>
            <w:pPr>
              <w:spacing w:after="0"/>
              <w:rPr>
                <w:sz w:val="19"/>
                <w:szCs w:val="19"/>
                <w:color w:val="auto"/>
              </w:rPr>
            </w:pPr>
          </w:p>
        </w:tc>
      </w:tr>
      <w:tr>
        <w:trPr>
          <w:trHeight w:val="229"/>
        </w:trPr>
        <w:tc>
          <w:tcPr>
            <w:tcW w:w="908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752,828</w:t>
            </w:r>
          </w:p>
        </w:tc>
        <w:tc>
          <w:tcPr>
            <w:tcW w:w="100" w:type="dxa"/>
            <w:vAlign w:val="bottom"/>
          </w:tcPr>
          <w:p>
            <w:pPr>
              <w:spacing w:after="0"/>
              <w:rPr>
                <w:sz w:val="19"/>
                <w:szCs w:val="19"/>
                <w:color w:val="auto"/>
              </w:rPr>
            </w:pPr>
          </w:p>
        </w:tc>
      </w:tr>
      <w:tr>
        <w:trPr>
          <w:trHeight w:val="229"/>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733,497</w:t>
            </w:r>
          </w:p>
        </w:tc>
        <w:tc>
          <w:tcPr>
            <w:tcW w:w="100" w:type="dxa"/>
            <w:vAlign w:val="bottom"/>
            <w:shd w:val="clear" w:color="auto" w:fill="CFF0FC"/>
          </w:tcPr>
          <w:p>
            <w:pPr>
              <w:spacing w:after="0"/>
              <w:rPr>
                <w:sz w:val="19"/>
                <w:szCs w:val="19"/>
                <w:color w:val="auto"/>
              </w:rPr>
            </w:pPr>
          </w:p>
        </w:tc>
      </w:tr>
      <w:tr>
        <w:trPr>
          <w:trHeight w:val="230"/>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562,408</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2,239,006</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Present value discount (2.9% weighted average)</w:t>
            </w:r>
          </w:p>
        </w:tc>
        <w:tc>
          <w:tcPr>
            <w:tcW w:w="3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(93,653)</w:t>
            </w:r>
          </w:p>
        </w:tc>
      </w:tr>
      <w:tr>
        <w:trPr>
          <w:trHeight w:val="223"/>
        </w:trPr>
        <w:tc>
          <w:tcPr>
            <w:tcW w:w="9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2,145,353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Hosted Design Software Agreement</w:t>
      </w:r>
    </w:p>
    <w:p>
      <w:pPr>
        <w:spacing w:after="0" w:line="19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222222"/>
        </w:rPr>
        <w:t>On June 25, 2015, the Company entered into a three-year agreement to license electronic design automation software in a hosted environment. Pursuant to the agreement, under which services began in July 2015, the Company is required to remit quarterly payments. In June 2021, the Company entered into its latest renewal of the agreement for an additional three years, and the Company is required to remit quarterly payments of approximately $233,000 through the second quarter of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2022, the Company accrued $465,241 in expense under the Bonus Plan, which will be paid during the fourth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of 2022 and the first quarter of 2023. During the three months ended September 30, 2021, the Company accrued $304,377 in expense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Plan, which was paid during the fourth quarter of 2021. During the nine months ended September 30, 2022 and 2021,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$967,033 and $1,087,533 in expense under the Bonus Plan, respectively. The expense under the Bonus Plan is recognized under operating expenses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Statement of Operations within each executive’s department.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(each, an “Executive”).</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Under the Severance Agreement, if an Executive is terminated in a qualifying change in control termination, the Company agrees to pay the Executive six to 12 months of that Executive’s monthly base salary.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six to 12 month period following the Executive’s termination.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Employee Agreement – Cesar Johnston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December 9, 2021, the Company announced that Cesar Johnston had been appointed as the Company’s Chief Executive Officer. In connection with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Johnston’s appointment as Chief Executive Officer, the Company and Mr. Johnston executed an offer letter dated as of December 6, 2021.</w:t>
      </w:r>
    </w:p>
    <w:p>
      <w:pPr>
        <w:spacing w:after="0" w:line="14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Under the terms of his offer letter, Mr. Johnston will receive an annual base salary of $400,000 per year. Beginning in year 2022, he will be eligible to receive a discretionary annual bonus of up to 100% of his base salary, at the recommendation of the Company’s Compensation Committee, with the approval of the Company’s Board. In addition, as an inducement to accept his appointment as Chief Executive Officer, Mr. Johnston will receive, subject to continued employment, (a) a special one-time sign-on bonus in the amount of $120,000, payable in two equal installments of $60,000 each on the first payroll date in 2022 and the first payroll date after December 6, 2022, (b) a grant of 150,000 RSUs to acquire shares of the Company’s common stock, one third of which shall vest on December 6, 2022 and the remaining two thirds of which shall vest in eight equal installments of 12,500 each on each quarterly anniversary thereafter and (c) a grant of an option to purchase 300,000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Also pursuant to the terms of his offer letter, Mr. Johnston is eligible for (a) an additional equity award in the amount of 287,000 PSUs to acquire shares of the Company’s common stock, to vest at various amounts to be agreed upon by the Board per year over a three year period commencing January 1, 2022 and ending December 31, 2024, upon the achievement of performance criteria to be mutually established by Mr. Johnston and the Compensation Committee, and (b) an additional equity award of up to 25,000 PSUs per calendar year for each of 2022, 2023 and 2024, based on outperformance of agreed upon goals per calendar year, as determined by the Compensation Committee with approval of the Board. On July 20, 2022, the Board approved, by unanimous written consent, the grant to Mr. Johnston of up to 287,000 PSUs pursuant to the terms of Mr. Johnston’s offer letter. The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50,000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September 30, 2022, only 187,000 PSUs have approved performance criteria.</w:t>
      </w:r>
    </w:p>
    <w:p>
      <w:pPr>
        <w:spacing w:after="0" w:line="1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COBRA, the Company or its successor will pay the full amount of Mr. Johnston’s COBRA premiums on his behalf for 18 months.</w:t>
      </w:r>
    </w:p>
    <w:p>
      <w:pPr>
        <w:spacing w:after="0" w:line="21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Mr. Johnston is also eligible to receive all customary and usual benefits generally available to senior executives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Stephen Rizzone</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former President and Chief Executive Officer (“Employment Agreement”).</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Employment Agreement effective as of January 1, 2015, had an initial term of four years 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9, 2021, the Company announced that Stephen R. Rizzone had retired from his position as the Company’s President and Chief Executive Officer and as a member of the Board.</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Mr. Rizzone’s retirement, the Company and Mr. Rizzone entered into an Executive Transition Agreement (the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RSUs and an extension of the exercise periods of all stock options held by Mr. Rizzone until the one year anniversary of his termination date, and additional benefits related to Mr. Rizzone’s medical insurance. In addition, the Company agreed to pay-off all amounts owed under a lease agreement relating to a company car and that Mr. Rizzone would receive the title to the vehicle. All compensation under the Separation Agreement has been or will be subject to applicable withholding.</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2022, the Company had unpaid accrued severance expense of $572,016 pertaining to Mr. Rizzone’s Separation Agreement which is expected to be paid through August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Neeraj Sahejpal</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12 months of Mr. Sahejpal’s then-current salary of $261,250, 12 months of maximum potential bonus of $261,250, and 12 months of COBRA reimbursements. In addition, all RSUs held by Mr. Sahejpal that were due to vest in the 12 months after his departure, totaling RSUs covering 85,943 shares, were accelerated.</w:t>
      </w:r>
    </w:p>
    <w:p>
      <w:pPr>
        <w:spacing w:after="0" w:line="21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recorded $0 and $633,444 in total severance expense pertaining to Mr. Sahejpal’s departure for the three and nine months ended September 30, 2022, respectively. As of September 30, 2022, the Company had unpaid accrued severance expense of $8,018 pertaining to Mr. Sahejpal’s agreement which is expected to be paid through April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will collaborate on the commercialization of Licensed Products based on a mutually-agreed upon plan. Each party will retain all of its intellectual property.</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Alliance Agreement has an initial term of seven years, with automatic renewal annually thereafter unless terminated by either party upon 180 days’ prior written notice. The Company may terminate the Alliance Agreement at any time after the third anniversary of the Alliance Agreement upon 180 days’ prior written notice to Dialog, or if Dialog breaches certain exclusivity obligations. Dialog may terminate the Alliance Agreement if sales of Licensed Products do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spacing w:after="0" w:line="13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the At Market Issuance Sales Agreement, as amended, between the Company, B. Riley Securities, Inc., Roth Capital Partners LLC and Ladenburg Thalmann &amp; Co. Inc. (the “ATM Program”). The $40,000,000 of common stock to be offered, issued and sold under the ATM Program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quarters of 2020 under the ATM Program.</w:t>
      </w:r>
    </w:p>
    <w:p>
      <w:pPr>
        <w:spacing w:after="0" w:line="1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the fourth quarter of 2021 under the ATM Program. As of September 30, 2022, the Company has $7,088,127 remaining on this shelf registration statement. During the period from October 1, 2022 through November 7, 2022, the Company made additional sales under the ATM Program (see Note 9 – Subsequent Events).</w:t>
      </w:r>
    </w:p>
    <w:p>
      <w:pPr>
        <w:spacing w:after="0" w:line="14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2022, 1,180,012 shares of common stock remain eligible to be issued through equity-based instruments under the 2013 Equity Incentive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2022, 634,867 shares of common stock remain eligible to be issued through equity-based instruments under the 2014 Non-Employee Equity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9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2022, 2,124,013 shares of common stock remain eligible to be issued through equity-based instruments under the 2015 Performance Share Unit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2017 Equity Inducement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September 30, 2022, 1,569,170 shares of common stock remain available to be issued through equity-based instruments under the 2017 Equity Inducement Plan. On July 20, 2022, the Board increased the number of shares of common stock reserved and available for issuance under the 2017 Equity Inducement Plan by 2,000,000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April 2015, the Company’s Board approved the ESPP, under which 600,000 shares of common stock have been reserved for purchase by the Company’s employees, subject to the approval by the Company’s stockholders. On May 21, 2015, the Company’s stockholders approved the ESPP. Effective on June 16, 2021, the Company’s stockholders approved the amendment and restatement of the ESPP to increase the number of shares reserved for issuance through equity-based instruments thereunder by 700,000 shares, bring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September 30, 2022, 353,751 shares of common stock remain eligible to be issued under the ESPP. Employees contributed $84,977 through payroll withholdings to the ESPP as of September 30, 2022 for the current offering period which will end on December 31, 2022 with shares deemed delivered on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nine months ended September 30, 2022, the Board granted our Chief Executive Officer 300,000 stock options under the 2013 Equity Incentive Plan at an exercise price of $1.27 per share with half of the options vesting on the second anniversary of the vesting start date and a quarter of the options vesting on each of the two following anniversaries.</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estimated the fair value of stock options granted during the second quarter of 2022 using the Black-Scholes option pricing model. No stock options were granted during the first quarter or third quarter of 2022. The fair values of stock options granted during the second quarter of 2022 were estimated using the following assumptions:</w:t>
      </w: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 2022</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top w:val="single" w:sz="8" w:color="CFF0FC"/>
            </w:tcBorders>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5.6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Life In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Years</w:t>
            </w:r>
          </w:p>
        </w:tc>
        <w:tc>
          <w:tcPr>
            <w:tcW w:w="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525,006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(524,744)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Exercisable at January 1, 2022</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(524,744)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Exercisable at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2022, the unamortized fair value of options was $255,253. The unamortized amount will be expensed over a weighted average period of 2.8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July 20, 2022, the Board granted the Company’s Chief Executive Officer, Cesar Johnston, up to 287,000 PSUs under the Company’s 2015 Performance Share Unit Plan pursuant to the terms of Mr. Johnston’s offer letter with the Company (See Note 4 – Commitments and Contingencies). The up to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50,000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September 30, 2022, only 187,000 PSUs have approved performance criteria.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September 30, 2022, the unamortized fair value of the PSUs was $84,670. The unamortized amount will be expensed over a weighted average period of 0.25 years. A summary of the activity related to PSUs for the nine months ended September 30, 2022 is presented below: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92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spacing w:after="0"/>
              <w:rPr>
                <w:sz w:val="20"/>
                <w:szCs w:val="20"/>
                <w:color w:val="auto"/>
              </w:rPr>
            </w:pPr>
            <w:r>
              <w:rPr>
                <w:rFonts w:ascii="Arial" w:cs="Arial" w:eastAsia="Arial" w:hAnsi="Arial"/>
                <w:sz w:val="18"/>
                <w:szCs w:val="18"/>
                <w:color w:val="auto"/>
              </w:rPr>
              <w:t>PSUs 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PSUs forfeited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gridSpan w:val="2"/>
          </w:tcPr>
          <w:p>
            <w:pPr>
              <w:spacing w:after="0"/>
              <w:rPr>
                <w:sz w:val="20"/>
                <w:szCs w:val="20"/>
                <w:color w:val="auto"/>
              </w:rPr>
            </w:pPr>
            <w:r>
              <w:rPr>
                <w:rFonts w:ascii="Arial" w:cs="Arial" w:eastAsia="Arial" w:hAnsi="Arial"/>
                <w:sz w:val="18"/>
                <w:szCs w:val="18"/>
                <w:color w:val="auto"/>
              </w:rPr>
              <w:t>PSUs vested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187,000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the Board granted various employees RSUs covering 1,038,700 shares of common stock under the 2013 Equity Incentive Plan. The awards vest over terms ranging from two to four years.</w:t>
      </w:r>
    </w:p>
    <w:p>
      <w:pPr>
        <w:spacing w:after="0" w:line="14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During the nine months ended September 30, 2022, the Compensation Committee and the Board granted various non-employees RSUs covering 290,055 shares of common stock under the 2014 Non-Employee Equity Compensation Plan. The awards vest over terms ranging from one to two years.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nine months ended September 30, 2022, the Board granted various employees RSUs covering 601,000 shares of common stock under the 2017 Equity Inducement Plan. The awards vest over four years.</w:t>
      </w:r>
    </w:p>
    <w:p>
      <w:pPr>
        <w:spacing w:after="0" w:line="19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As of September 30, 2022, the unamortized fair value of the RSUs was $3,212,555. The unamortized amount will be expensed over a weighted average period of 1.9 years. A summary of the activity related to RSUs for the nine months ended September 30, 2022 is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1,709,273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1,929,755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(303,281)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RSUs vested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(861,400)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2,474,347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current offering period under the ESPP started on July 1, 2022 and will conclude on December 31, 2022. The recently completed offering period under the ESPP started on January 1, 2022 and concluded on June 30, 2022. During the year ended December 31, 2021, there were two offering periods. The first offering period began on January 1, 2021 and concluded on June 30, 2021. The second offering period began on July 1, 2021 and concluded on December 31, 2021.</w:t>
      </w:r>
    </w:p>
    <w:p>
      <w:pPr>
        <w:spacing w:after="0" w:line="160"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The weighted-average grant-date fair value of the purchase option for each designated share purchased under the ESPP was approximately $0.36 and $1.05 for the nine months ended September 30, 2022 and 2021, respectively, which represents the fair value of the option, consisting of three main components:</w:t>
      </w:r>
    </w:p>
    <w:p>
      <w:pPr>
        <w:ind w:right="260" w:firstLine="8"/>
        <w:spacing w:after="0" w:line="253"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value of the discount on the enrollment date, (ii) the proportionate value of the call option for 85% of the stock and (iii) the proportionate value of the put option for 15% of the stock. The Company recognized compensation expense for the ESPP of $22,084 and $76,814 for the three months ended September 30, 2022 and 2021, respectively, and the Company recognized compensation expense for the ESPP of $104,485 and $194,781 for the nine months ended September 30, 2022 and 2021, respectively.</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estimated the fair value of ESPP purchase options granted during the nine months ended September 30, 2022 and 2021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fair values of ESPP purchase options granted were estimated using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400" w:type="dxa"/>
            <w:vAlign w:val="bottom"/>
          </w:tcPr>
          <w:p>
            <w:pPr>
              <w:spacing w:after="0"/>
              <w:rPr>
                <w:sz w:val="14"/>
                <w:szCs w:val="14"/>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 2022</w:t>
            </w:r>
          </w:p>
        </w:tc>
        <w:tc>
          <w:tcPr>
            <w:tcW w:w="1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$0.96 - $1.25</w:t>
            </w:r>
          </w:p>
        </w:tc>
        <w:tc>
          <w:tcPr>
            <w:tcW w:w="3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$1.80 - $2.78</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Dividend yield</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- 68%</w:t>
            </w: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 - 143%</w:t>
            </w:r>
          </w:p>
        </w:tc>
        <w:tc>
          <w:tcPr>
            <w:tcW w:w="2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0.19% - 2.52%</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0.05% - 0.09%</w:t>
            </w:r>
          </w:p>
        </w:tc>
        <w:tc>
          <w:tcPr>
            <w:tcW w:w="20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 months</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 months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total stock-based compensation costs recognized for the three and nine months ended September 30, 2022 and 2021: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42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8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284,994</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284,994</w:t>
            </w:r>
          </w:p>
        </w:tc>
        <w:tc>
          <w:tcPr>
            <w:tcW w:w="12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RSUs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586,652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1,010,990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1,933,301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4,571,726</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PSUs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843,741</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3,539,588</w:t>
            </w:r>
          </w:p>
        </w:tc>
        <w:tc>
          <w:tcPr>
            <w:tcW w:w="120" w:type="dxa"/>
            <w:vAlign w:val="bottom"/>
            <w:shd w:val="clear" w:color="auto" w:fill="CFF0FC"/>
          </w:tcPr>
          <w:p>
            <w:pPr>
              <w:spacing w:after="0"/>
              <w:rPr>
                <w:sz w:val="19"/>
                <w:szCs w:val="19"/>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76,814</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104,485</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194,781</w:t>
            </w:r>
          </w:p>
        </w:tc>
        <w:tc>
          <w:tcPr>
            <w:tcW w:w="12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698,222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2,216,539</w:t>
            </w:r>
          </w:p>
        </w:tc>
        <w:tc>
          <w:tcPr>
            <w:tcW w:w="3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2,158,915</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8,591,089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60" w:type="dxa"/>
            <w:vAlign w:val="bottom"/>
            <w:gridSpan w:val="5"/>
          </w:tcPr>
          <w:p>
            <w:pPr>
              <w:jc w:val="right"/>
              <w:ind w:right="533"/>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294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273,923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1,207,415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922,447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4,873,925</w:t>
            </w:r>
          </w:p>
        </w:tc>
        <w:tc>
          <w:tcPr>
            <w:tcW w:w="100" w:type="dxa"/>
            <w:vAlign w:val="bottom"/>
            <w:shd w:val="clear" w:color="auto" w:fill="CFF0FC"/>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109,702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565,367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344,478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2,046,728</w:t>
            </w:r>
          </w:p>
        </w:tc>
        <w:tc>
          <w:tcPr>
            <w:tcW w:w="10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314,597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158,763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804,328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1,385,442</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Severance expense</w:t>
            </w:r>
          </w:p>
        </w:tc>
        <w:tc>
          <w:tcPr>
            <w:tcW w:w="9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284,994</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284,994</w:t>
            </w:r>
          </w:p>
        </w:tc>
        <w:tc>
          <w:tcPr>
            <w:tcW w:w="100" w:type="dxa"/>
            <w:vAlign w:val="bottom"/>
            <w:tcBorders>
              <w:bottom w:val="single" w:sz="8" w:color="CFF0FC"/>
            </w:tcBorders>
          </w:tcPr>
          <w:p>
            <w:pPr>
              <w:spacing w:after="0"/>
              <w:rPr>
                <w:sz w:val="19"/>
                <w:szCs w:val="19"/>
                <w:color w:val="auto"/>
              </w:rPr>
            </w:pPr>
          </w:p>
        </w:tc>
      </w:tr>
      <w:tr>
        <w:trPr>
          <w:trHeight w:val="223"/>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698,222</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2,216,539</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2,158,915</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8,591,089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November 2016, the Company and Dialog entered into the Alliance Agreement for the manufacture, distribution and commercialization of products incorporating the Company’s wire-free charging technology (See Note 4 – Commitments and Contingencies, </w:t>
      </w:r>
      <w:r>
        <w:rPr>
          <w:rFonts w:ascii="Arial" w:cs="Arial" w:eastAsia="Arial" w:hAnsi="Arial"/>
          <w:sz w:val="17"/>
          <w:szCs w:val="17"/>
          <w:i w:val="1"/>
          <w:iCs w:val="1"/>
          <w:color w:val="auto"/>
        </w:rPr>
        <w:t>Strategic Alliance Agreement</w:t>
      </w:r>
      <w:r>
        <w:rPr>
          <w:rFonts w:ascii="Arial" w:cs="Arial" w:eastAsia="Arial" w:hAnsi="Arial"/>
          <w:sz w:val="17"/>
          <w:szCs w:val="17"/>
          <w:color w:val="auto"/>
        </w:rPr>
        <w:t>). On November 7, 2016 and June 28, 2017, the Company and Dialog entered into securities purchase agreements under which Dialog acquired a total of 1,739,691 shares and received warrants to purchase up to 1,417,565 shares. As of September 30, 2022, none of the warrants remain outstanding. As of September 30, 2022, Dialog owns approximately 2.2% of the Company’s outstanding common shares. The Company did not record any revenue during the three or nine months ended September 30, 2022 and 2021. The Company incurred $0 and $225,000 from Dialog in chip development expense during the three months ended September 30, 2022 and 2021, respectively, and the Company incurred $0 and $408,000 from Dialog in chip development expense during the nine months ended September 30, 2022 and 2021, respectively.</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September 20, 2021, the Company was notified by Dialog, recently acquired by Renesas Electronics Corporation, that it was terminating the Alliance Agreement between the Company and Dialog.</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 Customer Concentrations</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Two customers accounted for approximately 87% of the Company’s revenue for the three months ended September 30, 2022, and two customers accounted for approximately 61% of the Company’s revenue for the three months ended September 30, 2021. One customer accounted for approximately 46% of the Company’s revenue for the nine months ended September 30, 2022, and four customers accounted for approximately 62% of the Company’s revenue for the nine months ended September 30, 2021. Four customers accounted for approximately 99% of the accounts receivable balance as of September 30, 2022. Four customers accounted for approximately 68% of the accounts receivable balance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period from October 1, 2022 through November 7, 2022, the Company raised net proceeds of $453,180 (net of $11,632 in issuance costs) under its ATM Program. As of November 7, 2022, the Company has $6,623,315 remaining on the ATM Program.</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67" w:lineRule="auto"/>
        <w:rPr>
          <w:sz w:val="20"/>
          <w:szCs w:val="20"/>
          <w:color w:val="auto"/>
        </w:rPr>
      </w:pPr>
      <w:r>
        <w:rPr>
          <w:rFonts w:ascii="Arial" w:cs="Arial" w:eastAsia="Arial" w:hAnsi="Arial"/>
          <w:sz w:val="17"/>
          <w:szCs w:val="17"/>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and our response thereto on our business;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IDC (International Data Corporation) November 2021 IoT Spending Guide Forecast, the IoT market is forecasted to grow to nearly 40 billion devices by 2025. The initial IoT applications that we are targeting are in the area of RF tags and electronic shelf labeling (“ESL”) for the retail, industrial and healthcare markets.</w:t>
      </w:r>
    </w:p>
    <w:p>
      <w:pPr>
        <w:spacing w:after="0" w:line="2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support a myriad of wireless charging applications including Bluetooth tracking tags, IoT sensors, ESLs, beacons, stock management devices, security cameras, handheld devices, smart automation, wearables and hearables.</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continue to monitor the ongoing effects of COVID-19, including its impact on our operations, financial position, cash flows, inventory, supply chains, global regulatory approvals, purchasing trends, customer payments, and the industry in general, in addition to the impact on our employees.</w:t>
      </w:r>
    </w:p>
    <w:p>
      <w:pPr>
        <w:spacing w:after="0" w:line="15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believe that the COVID-19 pandemic delayed adoption of our technology by potential customers who have experienced workforce and supply chain disruptions, and who continue to evaluate their future prospects and business models, including partnerships with us. Further delays in the adoption of our current or future products could result from the ongoing pandemic.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follow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record revenue associated with the sale of production-level systems once control over the product is transferred to the customer. We record the expense related to the sales of these systems as cost of revenue during the period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Three Months Ended September 30, 2022 and 2021</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three months ended September 30, 2022 and 2021, we recorded revenue of $223,201 and $201,364, respectively. The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$21,837 is primarily due to an increase in production-level systems sales volume.</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Costs and Expenses and Loss from Operations. </w:t>
      </w:r>
      <w:r>
        <w:rPr>
          <w:rFonts w:ascii="Arial" w:cs="Arial" w:eastAsia="Arial" w:hAnsi="Arial"/>
          <w:sz w:val="18"/>
          <w:szCs w:val="18"/>
          <w:color w:val="auto"/>
        </w:rPr>
        <w:t>Costs and expenses are made up of cost of revenue, research and development,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and severance expense. Losses from operations for the three months ended September 30, 2022 and 2021 were $6,107,715 and $12,465,361, respectively.</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$420,060 and $0, respectively, for the three months ended September 30, 2022 and 2021.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cost of revenue is for our production-level systems that are sold to customers. We did not incur any cost of revenue during the three months ended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Research and development costs were $2,885,830 and $4,737,159, respectively, for the three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2022 and 2021. The decrease of $1,851,329 is primarily due to a $1,385,345 decrease in compensation, consisting of a $933,492 decrease in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primarily due to equity awards becoming fully vested during the previous year and the transfer of the current CEO to the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Department late last year after his promotion and a $451,853 decrease in payroll costs due to a lower headcount within the department,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$336,059 decrease in chip design, engineering supplies and components, a $44,370 decrease in regulatory testing, a $43,165 decrease in patent-related legal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and a $42,717 decrease in regulatory legal fees.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Sales and Marketing Costs. </w:t>
      </w:r>
      <w:r>
        <w:rPr>
          <w:rFonts w:ascii="Arial" w:cs="Arial" w:eastAsia="Arial" w:hAnsi="Arial"/>
          <w:sz w:val="18"/>
          <w:szCs w:val="18"/>
          <w:color w:val="auto"/>
        </w:rPr>
        <w:t>Sales and marketing costs for the three months ended September 30, 2022 and 2021 were $1,093,640 and $1,922,128,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of $828,488 is primarily due to a $650,293 decrease in compensation, consisting of a $455,665 decrease in stock-based compensation, primarily due to equity awards becoming fully vested during the previous year and a lower headcount within the department and a $194,628 decrease in payroll costs due to a lower headcount within the department, a $114,320 decrease in public relations, consulting and third party services expenses and a $51,605 decrease in marketing and promotional expense.</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costs for the three months ended September 30, 2022 and 2021 were $1,931,386 and</w:t>
      </w:r>
      <w:r>
        <w:rPr>
          <w:rFonts w:ascii="Arial" w:cs="Arial" w:eastAsia="Arial" w:hAnsi="Arial"/>
          <w:sz w:val="16"/>
          <w:szCs w:val="16"/>
          <w:i w:val="1"/>
          <w:iCs w:val="1"/>
          <w:color w:val="auto"/>
        </w:rPr>
        <w:t xml:space="preserve"> </w:t>
      </w:r>
      <w:r>
        <w:rPr>
          <w:rFonts w:ascii="Arial" w:cs="Arial" w:eastAsia="Arial" w:hAnsi="Arial"/>
          <w:sz w:val="16"/>
          <w:szCs w:val="16"/>
          <w:color w:val="auto"/>
        </w:rPr>
        <w:t>$1,990,266, respectively. The decrease of $58,880 is primarily due to a $245,166 decrease in recruiting fees, a $134,169 decrease in investor relations, consulting and third-party services and a $40,422 decrease in annual meeting costs, partially offset by a $242,884 increase in compensation, consisting of a $155,834 increase in stock-based compensation from recently granted executive equity awards and an $87,052 increase in payroll costs due to the former CEO and former CFO only receiving partial pro-rated bonus payments during the third quarter of 2021, a $50,286 increase in travel costs, a $30,447 increase in accounting and audit fees, a $25,432 increase in software and training expense and a $15,108 increase in supplies.</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three months ended September 30, 2022 was $142,840 as compared to interest income of $835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The increase of $142,005 is primarily due to higher savings interest rates.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three months ended September 30, 2022 was $5,964,875 as compared to $12,464,526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and 2021</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nine months ended September 30, 2022 and 2021, we recorded revenue of $672,133 and $531,389, respectively. The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$140,744 is primarily due to an increase in production-level systems sales volume.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Costs and Expenses and Loss from Operations. </w:t>
      </w:r>
      <w:r>
        <w:rPr>
          <w:rFonts w:ascii="Arial" w:cs="Arial" w:eastAsia="Arial" w:hAnsi="Arial"/>
          <w:sz w:val="18"/>
          <w:szCs w:val="18"/>
          <w:color w:val="auto"/>
        </w:rPr>
        <w:t>Costs and expenses are made up of cost of revenue, research and development,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and severance expense. Losses from operations for the nine months ended September 30, 2022 and 2021 were $20,328,057 and $32,009,987, respectively.</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$894,693 and $0, respectively, for the nine months ended September 30, 2022 and 2021.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cost of revenue is for our production-level systems that are sold to customers. We did not incur any cost of revenue during the nine months ended September 30, 2021.</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ind w:right="60"/>
        <w:spacing w:after="0" w:line="272"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Research and development costs were $9,622,886 and $15,432,097, respectively,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2022 and 2021. The decrease of $5,809,211 is primarily due to a $5,220,092 decrease in compensation, consisting of a $3,951,478 decrease in stock-based compensation from the recognition of PSU award expense in 2021 and the transfer of the current CEO to the General and Administrative department towards the end of 2021 after his promotion and $1,268,614 decrease in payroll costs from a lower headcount within the department, a $514,143 decrease in chip design, engineering supplies and components, a $99,947 decrease in consulting and third party services and an $82,062 decrease in regulatory legal fees, partially offset by a $130,125 increase in recruiting fees and a $124,228 increase in postage from shipping components and demonstration units for customer demonstrations and regulatory testing.</w:t>
      </w:r>
    </w:p>
    <w:p>
      <w:pPr>
        <w:spacing w:after="0" w:line="15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 xml:space="preserve">Sales and Marketing Costs. </w:t>
      </w:r>
      <w:r>
        <w:rPr>
          <w:rFonts w:ascii="Arial" w:cs="Arial" w:eastAsia="Arial" w:hAnsi="Arial"/>
          <w:sz w:val="18"/>
          <w:szCs w:val="18"/>
          <w:color w:val="auto"/>
        </w:rPr>
        <w:t>Sales and marketing costs for the nine months ended September 30, 2022 and 2021 were $3,865,322 and $6,157,697,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of $2,292,375 is primarily due to a $2,185,832 decrease in compensation, consisting of a $1,702,250 decrease in stock-based compensation from the recognition of PSU award expense during 2021 and a lower headcount within the department and a $483,582 decrease in payroll costs from a lower headcount within the department, a $270,562 decrease in public relations, consulting and third party services, a $115,238 decrease in marketing and promotional expenses and a $63,091 decrease in legal fees, partially offset by a $234,303 increase in tradeshow expense and an $88,720 increase in recruiting fees.</w:t>
      </w:r>
    </w:p>
    <w:p>
      <w:pPr>
        <w:spacing w:after="0" w:line="1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costs for the nine months ended September 30, 2022 and 2021 were $5,983,845 and</w:t>
      </w:r>
      <w:r>
        <w:rPr>
          <w:rFonts w:ascii="Arial" w:cs="Arial" w:eastAsia="Arial" w:hAnsi="Arial"/>
          <w:sz w:val="16"/>
          <w:szCs w:val="16"/>
          <w:i w:val="1"/>
          <w:iCs w:val="1"/>
          <w:color w:val="auto"/>
        </w:rPr>
        <w:t xml:space="preserve"> </w:t>
      </w:r>
      <w:r>
        <w:rPr>
          <w:rFonts w:ascii="Arial" w:cs="Arial" w:eastAsia="Arial" w:hAnsi="Arial"/>
          <w:sz w:val="16"/>
          <w:szCs w:val="16"/>
          <w:color w:val="auto"/>
        </w:rPr>
        <w:t>$6,934,410, respectively. The decrease of $950,565 is primarily due to a $681,306 decrease in compensation, consisting of a $581,114 decrease in stock-based compensation primarily from company-wide PSU expense during 2021 and a $100,192 decrease in payroll costs from a lower headcount within the department, a $255,009 decrease in legal fees, an $87,202 decrease in recruiting fees, an $83,178 decrease in annual meeting costs and a $65,505 decrease in investor relations, consulting and third party services, partially offset by an $87,564 increase in travel costs, a $72,674 increase in accounting and audit fees, a $47,480 increase in training, dues and subscriptions and a $35,102 increase in insurance premiums.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nine months ended September 30, 2022 was $192,715 as compared to interest income of $3,869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The increase of $188,846 is primarily due to higher savings interest rates.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nine months ended September 30, 2022 was $20,135,342 as compared to $32,006,118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and 2021, we recorded revenue of $672,133 and $531,389, respectively. We incurred net losses of</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$20,135,342 and $32,006,118 for the nine months ended September 30, 2022 and 2021, respectively. Net cash used in operating activities was $18,838,453 and $22,498,803 for the nine months ended September 30, 2022 and 2021, respectively. We are currently meeting our liquidity requirements through the proceeds of securities offerings that raised net proceeds of $53,556,202 during 2020 and $27,043,751 during the fourth quarter of 2021, proceeds from contributions to the ESPP and payments received from customers.</w:t>
      </w:r>
    </w:p>
    <w:p>
      <w:pPr>
        <w:spacing w:after="0" w:line="15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believe our cash on hand as of September 30, 2022, together with anticipated revenues, will be sufficient to fund our operations through November 2023. Although we intend to continue our research and development activities, there can be no assurance that our available resources will be sufficient to enable us to generate revenues sufficient to sustain operations. Accordingly, we will likely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nine months ended September 30, 2022, cash flows used in operating activities were $18,838,453, consisting of a net loss of $20,135,342, less non-cash expenses aggregating $2,940,282 (principally stock-based compensation of $2,158,915, amortization of operating lease ROU assets of $550,372 and depreciation and amortization expense of $200,995), a $594,703 decrease in operating lease liabilities, a $395,405 decrease in accrued severance expense, a $312,174 decrease in accounts payable, a $230,368 increase in prepaid expenses and other current assets and a $164,426 increase in inventory, partially offset by a $42,477 increase in deferred revenue.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ind w:right="40"/>
        <w:spacing w:after="0" w:line="327" w:lineRule="auto"/>
        <w:rPr>
          <w:sz w:val="20"/>
          <w:szCs w:val="20"/>
          <w:color w:val="auto"/>
        </w:rPr>
      </w:pPr>
      <w:r>
        <w:rPr>
          <w:rFonts w:ascii="Arial" w:cs="Arial" w:eastAsia="Arial" w:hAnsi="Arial"/>
          <w:sz w:val="15"/>
          <w:szCs w:val="15"/>
          <w:color w:val="auto"/>
        </w:rPr>
        <w:t>During the nine months ended September 30, 2021, cash flows used in operating activities were $22,498,803, consisting of a net loss of $32,006,118, less non-cash expenses aggregating $9,391,389 (principally stock-based compensation of $8,591,089, amortization of operating lease ROU assets of $594,089 and depreciation and amortization expense of $195,361) and a $1,102,832 increase in accrued severance expense, partially offset by a $636,984 decrease in operating lease liabilities, a $174,606 decrease in accounts payable, a $111,683 increase in accounts receivable and a $72,074 increase in prepaid expenses and other current assets.</w:t>
      </w:r>
    </w:p>
    <w:p>
      <w:pPr>
        <w:spacing w:after="0" w:line="11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nine months ended September 30, 2022 and 2021, cash flows used in investing activities were $127,198 and $310,718, respectively. The cash used in investing activities for the nine months ended September 30, 2022 consisted of the purchase of new testing equipment and engineering software. The cash used in investing activities for the nine months ended September 30, 2021 consisted of the cost of our new website, as well as the purchases of new testing equipment and engineering software.</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nine months ended September 30, 2022, cash flows provided by financing activities were $249,705, which consisted of entirely of proceeds from contributions to the ESPP. During the nine months ended September 30, 2021, cash flows provided by financing activities were $362,048, which consisted entirely of proceeds from contributions to the ESPP.</w:t>
      </w:r>
    </w:p>
    <w:p>
      <w:pPr>
        <w:spacing w:after="0" w:line="143" w:lineRule="exact"/>
        <w:rPr>
          <w:sz w:val="20"/>
          <w:szCs w:val="20"/>
          <w:color w:val="auto"/>
        </w:rPr>
      </w:pPr>
    </w:p>
    <w:p>
      <w:pPr>
        <w:ind w:right="60"/>
        <w:spacing w:after="0" w:line="316" w:lineRule="auto"/>
        <w:rPr>
          <w:sz w:val="20"/>
          <w:szCs w:val="20"/>
          <w:color w:val="auto"/>
        </w:rPr>
      </w:pPr>
      <w:r>
        <w:rPr>
          <w:rFonts w:ascii="Arial" w:cs="Arial" w:eastAsia="Arial" w:hAnsi="Arial"/>
          <w:sz w:val="15"/>
          <w:szCs w:val="15"/>
          <w:color w:val="auto"/>
        </w:rPr>
        <w:t>On October 11, 2019, we entered into the At Market Issuance Sales Agreement between the Company, B. Riley Securities, Inc., Roth Capital Partners LLC and Ladenburg Thalmann &amp; Co. Inc., as amended by that certain Amendment No. 1 to the At Market Issuance Sales Agreement, dated as of September 14, 2022, and that certain Amendment No. 2 to the At Market Issuance Sales Agreement, dated as of October 4, 2021, through which it may offer and sell up to $75,000,000 of shares of our common stock (the “ATM Program”). During the three months ended September 30, 2022, we did not sell any shares under the ATM Program. As of September 30, 2022, $7,088,127 remains available for sale under the ATM Program. We sold 438,411 shares of common stock under the ATM Program during the period from October 1, 2022 through November 7, 2022. Net proceeds from such sales were $453,180, after deducting issuance costs.</w:t>
      </w:r>
    </w:p>
    <w:p>
      <w:pPr>
        <w:spacing w:after="0" w:line="12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There has been no material change in our exposure to market risk during the three months ended September 30, 2022. See "Quantitative and Qualitative Disclosures about Market Risk" in Part II, Item 7A of our Form 10-K for the year ended December 31, 2021 for a discussion of our exposure to market risk.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their evaluation as of September 30, 2022, our principal executive and principal financial officers have concluded that these disclosure controls and procedures (as defined in Rules 13a-15(e) and 15d-15(e) under the Exchange Act) were effective as of September 30, 2022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quarter ended September 30, 2022,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September 30, 2022, we had an accumulated deficit of approximately $357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likely need additional financings to achieve our long-term business plans, and there is no guarantee that it will be available on acceptable terms, or at all.</w:t>
      </w:r>
    </w:p>
    <w:p>
      <w:pPr>
        <w:spacing w:after="0" w:line="130"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ability to borrow from other sources. In addition, such securities may contain rights, preferences or privileges senior to those of current stockholders. As a result of potential worsening global economic conditions and general global economic uncertainty (including as a result of actual or perceived disruption caused by COVID-19 or other infectious diseases, the ongoing conflict between Russia and the Ukraine and the global sanctions imposed in response thereto, increases in inflation, fluctuating interest rates and disruptions to global supply chains),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18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shipping costs, supply shortages, increased costs of labor, weakening exchange rates and other similar effects. As a result of inflation, we have and may continue to experience cost increases, including increases in our supply chain costs. Additionally, because we purchase component parts from our suppliers, we may be adversely impacted by their inability to adequately mitigate inflationary, industry, or economic pressures.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50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8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2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43"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62"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products incorporating our technology are launched commercially, we may experience seasonality or other unevenness in our financial results in consumer markets or a long and variable sales cycle in enterprise markets.</w:t>
      </w:r>
    </w:p>
    <w:p>
      <w:pPr>
        <w:spacing w:after="0" w:line="143"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43"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70"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52"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5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28"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harmed.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98"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38"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2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188"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b w:val="1"/>
          <w:bCs w:val="1"/>
          <w:i w:val="1"/>
          <w:iCs w:val="1"/>
          <w:color w:val="auto"/>
        </w:rPr>
        <w:t>Our strategic relationship with Dialog, a provider of electronics products, has been terminated, and there can be no assurance that we will find a suitable replacement or be able to conduct the same activities internally.</w:t>
      </w:r>
    </w:p>
    <w:p>
      <w:pPr>
        <w:spacing w:after="0" w:line="143"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were historically party to an Alliance Agreement with Dialog, a provider of electronics products, pursuant to which we licensed our WattUp technology to Dialog and it became the exclusive provider of our technology. In November 2021, we were informed that Dialog was acquired by the Japanese chipmaker, Renesas Electronics, and that Dialog, under the control of Renesas Electronics would not be continuing our relationship. As we transfer our supply chains away from Dialog, we have been developing our own internal capabilities and are partnering once again with the foundry partner that supported our manufacturing process before we entered into the Alliance Agreement. While we have seen no major impact to-date as a result of the termination of our relationship with Dialog, the process of transferring our supply chains away from Dialog may result in manufacturing delays, increases in manufacturing or sales costs or reduced revenues.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21"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20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40"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38"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43"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85"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Because our industry is characterized by competing intellectual property, we may become involved in litigation based on claims that we have violated the intellectual property rights of others. Determining whether a</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spacing w:after="0" w:line="286" w:lineRule="auto"/>
        <w:rPr>
          <w:sz w:val="20"/>
          <w:szCs w:val="20"/>
          <w:color w:val="auto"/>
        </w:rPr>
      </w:pPr>
      <w:r>
        <w:rPr>
          <w:rFonts w:ascii="Arial" w:cs="Arial" w:eastAsia="Arial" w:hAnsi="Arial"/>
          <w:sz w:val="16"/>
          <w:szCs w:val="16"/>
          <w:color w:val="auto"/>
        </w:rPr>
        <w:t>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9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spacing w:after="0" w:line="193"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ind w:right="260"/>
        <w:spacing w:after="0" w:line="279" w:lineRule="auto"/>
        <w:rPr>
          <w:sz w:val="20"/>
          <w:szCs w:val="20"/>
          <w:color w:val="auto"/>
        </w:rPr>
      </w:pPr>
      <w:r>
        <w:rPr>
          <w:rFonts w:ascii="Arial" w:cs="Arial" w:eastAsia="Arial" w:hAnsi="Arial"/>
          <w:sz w:val="17"/>
          <w:szCs w:val="17"/>
          <w:color w:val="auto"/>
        </w:rPr>
        <w:t>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08"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Our charging technology involves power transmission using RF energy, which is subject to regulation by the Federal Communications Commission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Personnel</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73"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8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9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ind w:right="60"/>
        <w:spacing w:after="0" w:line="263" w:lineRule="auto"/>
        <w:rPr>
          <w:sz w:val="20"/>
          <w:szCs w:val="20"/>
          <w:color w:val="auto"/>
        </w:rPr>
      </w:pPr>
      <w:r>
        <w:rPr>
          <w:rFonts w:ascii="Arial" w:cs="Arial" w:eastAsia="Arial" w:hAnsi="Arial"/>
          <w:sz w:val="18"/>
          <w:szCs w:val="18"/>
          <w:color w:val="auto"/>
        </w:rPr>
        <w:t>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30"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19"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September 30, 2022, we cannot assure you that we will not identify any material weakness in our internal control in the future.</w:t>
      </w:r>
    </w:p>
    <w:p>
      <w:pPr>
        <w:spacing w:after="0" w:line="143"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51"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or part of your investment.</w:t>
      </w:r>
    </w:p>
    <w:p>
      <w:pPr>
        <w:spacing w:after="0" w:line="185"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98"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62"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ind w:left="860" w:right="140" w:hanging="420"/>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increases in inflation or fluctuating interest rates and disruptions to global supply chains, and perceptions of future economic growth prospects in the economy at large;</w:t>
      </w:r>
    </w:p>
    <w:p>
      <w:pPr>
        <w:spacing w:after="0" w:line="62" w:lineRule="exact"/>
        <w:rPr>
          <w:rFonts w:ascii="Arial" w:cs="Arial" w:eastAsia="Arial" w:hAnsi="Arial"/>
          <w:sz w:val="18"/>
          <w:szCs w:val="18"/>
          <w:color w:val="auto"/>
        </w:rPr>
      </w:pPr>
    </w:p>
    <w:p>
      <w:pPr>
        <w:ind w:left="860" w:right="400" w:hanging="420"/>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 such as the ongoing conflict between Russia and the Ukraine and the global sanctions imposed in response thereto;</w:t>
      </w:r>
    </w:p>
    <w:p>
      <w:pPr>
        <w:spacing w:after="0" w:line="62" w:lineRule="exact"/>
        <w:rPr>
          <w:rFonts w:ascii="Arial" w:cs="Arial" w:eastAsia="Arial" w:hAnsi="Arial"/>
          <w:sz w:val="18"/>
          <w:szCs w:val="18"/>
          <w:color w:val="auto"/>
        </w:rPr>
      </w:pPr>
    </w:p>
    <w:p>
      <w:pPr>
        <w:ind w:left="860" w:hanging="420"/>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and other calamities, including global pandemics such as the COVID-19 pandemic;</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number of holders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98"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As of December 31, 2021, we had a Federal net operating loss (“NOL”) carry forwards of approximately $241,988,000.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2021, based on our history of operating losses it is possible that a portion of our NOLs will not be fully realizable.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98"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41" w:lineRule="exact"/>
        <w:rPr>
          <w:sz w:val="20"/>
          <w:szCs w:val="20"/>
          <w:color w:val="auto"/>
        </w:rPr>
      </w:pPr>
    </w:p>
    <w:p>
      <w:pPr>
        <w:ind w:left="880" w:right="240" w:hanging="440"/>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5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87" w:lineRule="exact"/>
        <w:rPr>
          <w:sz w:val="20"/>
          <w:szCs w:val="20"/>
          <w:color w:val="auto"/>
        </w:rPr>
      </w:pPr>
    </w:p>
    <w:p>
      <w:pPr>
        <w:ind w:right="220" w:firstLine="589"/>
        <w:spacing w:after="0" w:line="271" w:lineRule="auto"/>
        <w:rPr>
          <w:sz w:val="20"/>
          <w:szCs w:val="20"/>
          <w:color w:val="auto"/>
        </w:rPr>
      </w:pPr>
      <w:r>
        <w:rPr>
          <w:rFonts w:ascii="Arial" w:cs="Arial" w:eastAsia="Arial" w:hAnsi="Arial"/>
          <w:sz w:val="17"/>
          <w:szCs w:val="17"/>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COVID-19 pandemic resulted in significant governmental measures being implemented to control the spread of the virus, including quarantines, travel restrictions, manufacturing restrictions, declarations of states of emergency and business shutdowns. A majority of our potential customers have a significant dependence on the Chinese manufacturing and supply chain infrastructure. We believe the COVID-19 pandemic delayed adoption of our technology by potential customers who temporarily shut down their workforces and supply chains based in China and elsewhere around the world.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05"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the United States, COVID-19 resulted in travel and other restrictions in order to reduce the spread of the disease. As a result of these developments, we have implemented work-from-home policies for our employees that will likely remain in effect in some form through the end of 2022 and possibly longer. Several vaccines have been approved for use since the fourth quarter of 2020, with vaccination rates increasing through 2022. Several new variants of COVID-19 have emerged and may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191"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98"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30"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Sales of Unregistered Securities;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0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580" w:type="dxa"/>
            <w:vAlign w:val="bottom"/>
          </w:tcPr>
          <w:p>
            <w:pPr>
              <w:spacing w:after="0"/>
              <w:rPr>
                <w:sz w:val="24"/>
                <w:szCs w:val="24"/>
                <w:color w:val="auto"/>
              </w:rPr>
            </w:pPr>
          </w:p>
        </w:tc>
        <w:tc>
          <w:tcPr>
            <w:tcW w:w="6600" w:type="dxa"/>
            <w:vAlign w:val="bottom"/>
            <w:gridSpan w:val="4"/>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580" w:type="dxa"/>
            <w:vAlign w:val="bottom"/>
          </w:tcPr>
          <w:p>
            <w:pPr>
              <w:spacing w:after="0"/>
              <w:rPr>
                <w:sz w:val="14"/>
                <w:szCs w:val="14"/>
                <w:color w:val="auto"/>
              </w:rPr>
            </w:pPr>
          </w:p>
        </w:tc>
        <w:tc>
          <w:tcPr>
            <w:tcW w:w="6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8960" w:type="dxa"/>
            <w:vAlign w:val="bottom"/>
            <w:tcBorders>
              <w:top w:val="single" w:sz="8" w:color="auto"/>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Periodic Report by Chief Executive Officer (principal executive officer) pursuant to Rule 13a-14(a)/15d-14a</w:t>
            </w:r>
          </w:p>
        </w:tc>
        <w:tc>
          <w:tcPr>
            <w:tcW w:w="122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Arial" w:cs="Arial" w:eastAsia="Arial" w:hAnsi="Arial"/>
                <w:sz w:val="18"/>
                <w:szCs w:val="18"/>
                <w:color w:val="0000EE"/>
                <w:w w:val="98"/>
              </w:rPr>
              <w:t>Certification of Periodic Report by the Acting Chief Financial Officer (principal financial officer) pursuant to Rule 13a-14(a)/15d-14a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Arial" w:cs="Arial" w:eastAsia="Arial" w:hAnsi="Arial"/>
                <w:sz w:val="18"/>
                <w:szCs w:val="18"/>
                <w:color w:val="0000EE"/>
                <w:w w:val="96"/>
              </w:rPr>
              <w:t>Certification of Periodic Report by Chief Executive Officer (principal executive officer) and the Acting Chief Financial Officer (principal</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financial officer) pursuant to U.S.C. Section 1350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8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Inline XBRL Instance Document (filed herewith)</w:t>
            </w:r>
          </w:p>
        </w:tc>
        <w:tc>
          <w:tcPr>
            <w:tcW w:w="6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08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68" w:lineRule="exact"/>
        <w:rPr>
          <w:sz w:val="20"/>
          <w:szCs w:val="20"/>
          <w:color w:val="auto"/>
        </w:rPr>
      </w:pPr>
    </w:p>
    <w:p>
      <w:pPr>
        <w:ind w:left="440" w:right="120" w:hanging="432"/>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Cesar Johnston</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Chief Executive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Mannina</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Acting Chief Financial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98" w:lineRule="exact"/>
        <w:rPr>
          <w:sz w:val="20"/>
          <w:szCs w:val="20"/>
          <w:color w:val="auto"/>
        </w:rPr>
      </w:pPr>
    </w:p>
    <w:p>
      <w:pPr>
        <w:ind w:left="940" w:hanging="541"/>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Cesar Johnston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35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Mannina, certify that:</w:t>
      </w:r>
    </w:p>
    <w:p>
      <w:pPr>
        <w:spacing w:after="0" w:line="198" w:lineRule="exact"/>
        <w:rPr>
          <w:sz w:val="20"/>
          <w:szCs w:val="20"/>
          <w:color w:val="auto"/>
        </w:rPr>
      </w:pPr>
    </w:p>
    <w:p>
      <w:pPr>
        <w:ind w:left="940" w:hanging="541"/>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Mannina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bl>
    <w:p>
      <w:pPr>
        <w:sectPr>
          <w:pgSz w:w="11900" w:h="16838" w:orient="portrait"/>
          <w:cols w:equalWidth="0" w:num="1">
            <w:col w:w="11240"/>
          </w:cols>
          <w:pgMar w:left="320" w:top="35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Energous Corporation (the “Company”) on Form 10-Q for the period ended September 30, 2022 as filed with the Securities and Exchange Commission on the date hereof (the “Report”), we, Cesar Johnston, Chief Executive Officer and William Mannina, Acting Chief Financial Officer, certify, pursuant to 18 U.S.C. § 1350, as adopted pursuant to § 906 of the Sarbanes-Oxley Act of 2002, that:</w:t>
      </w:r>
    </w:p>
    <w:p>
      <w:pPr>
        <w:spacing w:after="0" w:line="12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/s/ Cesar Johnston</w:t>
            </w:r>
          </w:p>
        </w:tc>
        <w:tc>
          <w:tcPr>
            <w:tcW w:w="5480" w:type="dxa"/>
            <w:vAlign w:val="bottom"/>
            <w:gridSpan w:val="2"/>
          </w:tcPr>
          <w:p>
            <w:pPr>
              <w:spacing w:after="0"/>
              <w:rPr>
                <w:sz w:val="20"/>
                <w:szCs w:val="20"/>
                <w:color w:val="auto"/>
              </w:rPr>
            </w:pPr>
            <w:r>
              <w:rPr>
                <w:rFonts w:ascii="Arial" w:cs="Arial" w:eastAsia="Arial" w:hAnsi="Arial"/>
                <w:sz w:val="18"/>
                <w:szCs w:val="18"/>
                <w:color w:val="auto"/>
              </w:rPr>
              <w:t>/s/ William Mannina</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Cesar Johnston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November 10, 2022</w:t>
            </w:r>
          </w:p>
        </w:tc>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00"/>
              <w:spacing w:after="0"/>
              <w:rPr>
                <w:sz w:val="20"/>
                <w:szCs w:val="20"/>
                <w:color w:val="auto"/>
              </w:rPr>
            </w:pPr>
            <w:r>
              <w:rPr>
                <w:rFonts w:ascii="Arial" w:cs="Arial" w:eastAsia="Arial" w:hAnsi="Arial"/>
                <w:sz w:val="18"/>
                <w:szCs w:val="18"/>
                <w:color w:val="auto"/>
              </w:rPr>
              <w:t>November 10, 2022</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2022-11-10T17:35:21Z</dcterms:created>
  <dcterms:modified xsi:type="dcterms:W3CDTF">2022-11-10T17:35:21Z</dcterms:modified>
</cp:coreProperties>
</file>