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23, 2026</w:t>
      </w:r>
    </w:p>
    <w:p>
      <w:pPr>
        <w:spacing w:after="0" w:line="30"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130175</wp:posOffset>
            </wp:positionV>
            <wp:extent cx="179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131445</wp:posOffset>
            </wp:positionV>
            <wp:extent cx="1790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ENERGOUS CORPORATION</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130175</wp:posOffset>
            </wp:positionV>
            <wp:extent cx="179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4200" w:type="dxa"/>
            <w:vAlign w:val="bottom"/>
          </w:tcPr>
          <w:p>
            <w:pPr>
              <w:jc w:val="center"/>
              <w:ind w:right="17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center"/>
              <w:ind w:left="1811"/>
              <w:spacing w:after="0"/>
              <w:rPr>
                <w:sz w:val="20"/>
                <w:szCs w:val="20"/>
                <w:color w:val="auto"/>
              </w:rPr>
            </w:pPr>
            <w:r>
              <w:rPr>
                <w:rFonts w:ascii="Times New Roman" w:cs="Times New Roman" w:eastAsia="Times New Roman" w:hAnsi="Times New Roman"/>
                <w:sz w:val="18"/>
                <w:szCs w:val="18"/>
                <w:b w:val="1"/>
                <w:bCs w:val="1"/>
                <w:color w:val="auto"/>
                <w:w w:val="98"/>
              </w:rPr>
              <w:t>46-1318953</w:t>
            </w:r>
          </w:p>
        </w:tc>
      </w:tr>
      <w:tr>
        <w:trPr>
          <w:trHeight w:val="214"/>
        </w:trPr>
        <w:tc>
          <w:tcPr>
            <w:tcW w:w="4200" w:type="dxa"/>
            <w:vAlign w:val="bottom"/>
          </w:tcPr>
          <w:p>
            <w:pPr>
              <w:jc w:val="center"/>
              <w:ind w:right="1751"/>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280" w:type="dxa"/>
            <w:vAlign w:val="bottom"/>
          </w:tcPr>
          <w:p>
            <w:pPr>
              <w:jc w:val="center"/>
              <w:ind w:left="1831"/>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r>
      <w:tr>
        <w:trPr>
          <w:trHeight w:val="237"/>
        </w:trPr>
        <w:tc>
          <w:tcPr>
            <w:tcW w:w="4200" w:type="dxa"/>
            <w:vAlign w:val="bottom"/>
          </w:tcPr>
          <w:p>
            <w:pPr>
              <w:jc w:val="center"/>
              <w:ind w:right="179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3280" w:type="dxa"/>
            <w:vAlign w:val="bottom"/>
          </w:tcPr>
          <w:p>
            <w:pPr>
              <w:jc w:val="center"/>
              <w:ind w:left="1791"/>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3590 North First Street, Suite 330</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Jose, California 95134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131445</wp:posOffset>
            </wp:positionV>
            <wp:extent cx="1790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Energous Corporation Amended and Restated 2024 Equity Incentive Plan</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131445</wp:posOffset>
            </wp:positionV>
            <wp:extent cx="1790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Mallorie Burak</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Chief Executive Officer and Chief Financial Officer</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3590 North First Street, Suite 330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San Jose, California 95134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(408) 963-0200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131445</wp:posOffset>
            </wp:positionV>
            <wp:extent cx="179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Ned A. Prusse</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David Dedyo</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Perkins Coie LLP</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1900 Sixteenth Street, Suite 1400</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Denver, Colorado 80202-5255</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(303) 291-2300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131445</wp:posOffset>
            </wp:positionV>
            <wp:extent cx="179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395" w:lineRule="exact"/>
        <w:rPr>
          <w:sz w:val="24"/>
          <w:szCs w:val="24"/>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8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1" w:lineRule="exact"/>
        <w:rPr>
          <w:sz w:val="24"/>
          <w:szCs w:val="24"/>
          <w:color w:val="auto"/>
        </w:rPr>
      </w:pPr>
    </w:p>
    <w:p>
      <w:pPr>
        <w:ind w:right="2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335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549910</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224" w:right="3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firstLine="385"/>
        <w:spacing w:after="0" w:line="277" w:lineRule="auto"/>
        <w:rPr>
          <w:sz w:val="20"/>
          <w:szCs w:val="20"/>
          <w:color w:val="auto"/>
        </w:rPr>
      </w:pPr>
      <w:r>
        <w:rPr>
          <w:rFonts w:ascii="Times New Roman" w:cs="Times New Roman" w:eastAsia="Times New Roman" w:hAnsi="Times New Roman"/>
          <w:sz w:val="17"/>
          <w:szCs w:val="17"/>
          <w:color w:val="auto"/>
        </w:rPr>
        <w:t>On June 11, 2026, the stockholders of Energous Corporation (d/b/a Energous Wireless Power Solutions) (the “Registrant”) approved an amendment and restatement of the Registrant’s Amended and Restated 2024 Equity Incentive Plan (as amended and restated, the “2024 Plan”) at its 2026 Annual Meeting of Stockholders (the “Annual Meeting”) that increased the number of authorized shares of the Registrant’s common stock, par value $0.00001 per share (the “Common Stock”), under the 2024 Plan by 300,000 shares. The 2024 Plan became effective immediately upon stockholder approval at the Annual Meeting.</w:t>
      </w:r>
    </w:p>
    <w:p>
      <w:pPr>
        <w:spacing w:after="0" w:line="166" w:lineRule="exact"/>
        <w:rPr>
          <w:sz w:val="20"/>
          <w:szCs w:val="20"/>
          <w:color w:val="auto"/>
        </w:rPr>
      </w:pPr>
    </w:p>
    <w:p>
      <w:pPr>
        <w:ind w:right="40" w:firstLine="385"/>
        <w:spacing w:after="0" w:line="277"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the Registrant with the Securities and Exchange Commission (the “Commission”) to register the additional 300,000 shares that may be issued under the 2024 Plan.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jc w:val="both"/>
        <w:ind w:right="20" w:firstLine="401"/>
        <w:spacing w:after="0" w:line="262"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in accordance with Rule 428 of the Securities Act of 1933, as amended (the “Securities Act”), and the instructions to Form S-8. The documents(s) containing the information specified in Part I of Form S-8 will be sent or made available to participants in the 2024 Plan as specified by Rule 428(b)(1) under the Securities Act.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filed with the Commission:</w:t>
      </w:r>
    </w:p>
    <w:p>
      <w:pPr>
        <w:spacing w:after="0" w:line="220" w:lineRule="exact"/>
        <w:rPr>
          <w:sz w:val="20"/>
          <w:szCs w:val="20"/>
          <w:color w:val="auto"/>
        </w:rPr>
      </w:pPr>
    </w:p>
    <w:p>
      <w:pPr>
        <w:ind w:right="40" w:firstLine="392"/>
        <w:spacing w:after="0" w:line="277" w:lineRule="auto"/>
        <w:tabs>
          <w:tab w:leader="none" w:pos="8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fiscal year ended December 31, 2025, filed on </w:t>
      </w:r>
      <w:hyperlink r:id="rId20">
        <w:r>
          <w:rPr>
            <w:rFonts w:ascii="Times New Roman" w:cs="Times New Roman" w:eastAsia="Times New Roman" w:hAnsi="Times New Roman"/>
            <w:sz w:val="18"/>
            <w:szCs w:val="18"/>
            <w:u w:val="single" w:color="auto"/>
            <w:color w:val="0000EE"/>
          </w:rPr>
          <w:t>March 26, 2026</w:t>
        </w:r>
      </w:hyperlink>
      <w:r>
        <w:rPr>
          <w:rFonts w:ascii="Times New Roman" w:cs="Times New Roman" w:eastAsia="Times New Roman" w:hAnsi="Times New Roman"/>
          <w:sz w:val="18"/>
          <w:szCs w:val="18"/>
          <w:color w:val="auto"/>
        </w:rPr>
        <w:t>, which contains the audited financial statements of the Registrant for the latest fiscal year for which such statements have been filed;</w:t>
      </w:r>
    </w:p>
    <w:p>
      <w:pPr>
        <w:spacing w:after="0" w:line="163" w:lineRule="exact"/>
        <w:rPr>
          <w:rFonts w:ascii="Times New Roman" w:cs="Times New Roman" w:eastAsia="Times New Roman" w:hAnsi="Times New Roman"/>
          <w:sz w:val="18"/>
          <w:szCs w:val="18"/>
          <w:color w:val="auto"/>
        </w:rPr>
      </w:pPr>
    </w:p>
    <w:p>
      <w:pPr>
        <w:ind w:left="920" w:hanging="528"/>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filed on </w:t>
      </w:r>
      <w:hyperlink r:id="rId21">
        <w:r>
          <w:rPr>
            <w:rFonts w:ascii="Times New Roman" w:cs="Times New Roman" w:eastAsia="Times New Roman" w:hAnsi="Times New Roman"/>
            <w:sz w:val="18"/>
            <w:szCs w:val="18"/>
            <w:u w:val="single" w:color="auto"/>
            <w:color w:val="0000EE"/>
          </w:rPr>
          <w:t>May 14,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right="60" w:firstLine="392"/>
        <w:spacing w:after="0" w:line="277" w:lineRule="auto"/>
        <w:tabs>
          <w:tab w:leader="none" w:pos="89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on </w:t>
      </w:r>
      <w:hyperlink r:id="rId22">
        <w:r>
          <w:rPr>
            <w:rFonts w:ascii="Times New Roman" w:cs="Times New Roman" w:eastAsia="Times New Roman" w:hAnsi="Times New Roman"/>
            <w:sz w:val="18"/>
            <w:szCs w:val="18"/>
            <w:u w:val="single" w:color="auto"/>
            <w:color w:val="0000EE"/>
          </w:rPr>
          <w:t>January 16,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3">
        <w:r>
          <w:rPr>
            <w:rFonts w:ascii="Times New Roman" w:cs="Times New Roman" w:eastAsia="Times New Roman" w:hAnsi="Times New Roman"/>
            <w:sz w:val="18"/>
            <w:szCs w:val="18"/>
            <w:u w:val="single" w:color="auto"/>
            <w:color w:val="0000EE"/>
          </w:rPr>
          <w:t>June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report or portions of a report deemed to have been furnished under Item 2.02 or Item 7.01 and any exhibits included with such Items); and</w:t>
      </w:r>
    </w:p>
    <w:p>
      <w:pPr>
        <w:spacing w:after="0" w:line="163" w:lineRule="exact"/>
        <w:rPr>
          <w:rFonts w:ascii="Times New Roman" w:cs="Times New Roman" w:eastAsia="Times New Roman" w:hAnsi="Times New Roman"/>
          <w:sz w:val="18"/>
          <w:szCs w:val="18"/>
          <w:color w:val="auto"/>
        </w:rPr>
      </w:pPr>
    </w:p>
    <w:p>
      <w:pPr>
        <w:ind w:right="400" w:firstLine="392"/>
        <w:spacing w:after="0" w:line="257" w:lineRule="auto"/>
        <w:tabs>
          <w:tab w:leader="none" w:pos="90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No. 001-36379), filed on March 26, 2014, pursuant to Section 12 of the Securities Exchange Act of 1934, as amended (the “Exchange Act”), including any amendments or reports filed for the purpose of updating such description (including </w:t>
      </w:r>
      <w:hyperlink r:id="rId25">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2025, filed on March 26, 2026).</w:t>
      </w:r>
    </w:p>
    <w:p>
      <w:pPr>
        <w:spacing w:after="0" w:line="182" w:lineRule="exact"/>
        <w:rPr>
          <w:rFonts w:ascii="Times New Roman" w:cs="Times New Roman" w:eastAsia="Times New Roman" w:hAnsi="Times New Roman"/>
          <w:sz w:val="18"/>
          <w:szCs w:val="18"/>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 13(a), 13(c), 14, or 15(d) of the Exchange Act after the date hereof, and prior to the filing of a post-effective amendment to this Registration Statement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83" w:lineRule="exact"/>
        <w:rPr>
          <w:rFonts w:ascii="Times New Roman" w:cs="Times New Roman" w:eastAsia="Times New Roman" w:hAnsi="Times New Roman"/>
          <w:sz w:val="18"/>
          <w:szCs w:val="18"/>
          <w:color w:val="auto"/>
        </w:rPr>
      </w:pPr>
    </w:p>
    <w:p>
      <w:pPr>
        <w:ind w:right="120" w:firstLine="385"/>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Registration Statement shall be deemed to be modified or superseded for purposes of this Registration Statement to the extent that a statement contained herein or in any other subsequently filed document which also is or is deemed to be incorporated by reference in this Registration Statement modifies or supersedes that statement. Any statement so modified or superseded shall not be deemed, except as so modified or superseded, to constitute a part of this Registration Statement.</w:t>
      </w:r>
    </w:p>
    <w:p>
      <w:pPr>
        <w:spacing w:after="0" w:line="178" w:lineRule="exact"/>
        <w:rPr>
          <w:rFonts w:ascii="Times New Roman" w:cs="Times New Roman" w:eastAsia="Times New Roman" w:hAnsi="Times New Roman"/>
          <w:sz w:val="18"/>
          <w:szCs w:val="18"/>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4"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457200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2" w:name="page3"/>
    <w:bookmarkEnd w:id="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224" w:lineRule="exact"/>
        <w:rPr>
          <w:sz w:val="20"/>
          <w:szCs w:val="20"/>
          <w:color w:val="auto"/>
        </w:rPr>
      </w:pPr>
    </w:p>
    <w:p>
      <w:pPr>
        <w:ind w:firstLine="321"/>
        <w:spacing w:after="0" w:line="252" w:lineRule="auto"/>
        <w:rPr>
          <w:sz w:val="20"/>
          <w:szCs w:val="20"/>
          <w:color w:val="auto"/>
        </w:rPr>
      </w:pPr>
      <w:r>
        <w:rPr>
          <w:rFonts w:ascii="Times New Roman" w:cs="Times New Roman" w:eastAsia="Times New Roman" w:hAnsi="Times New Roman"/>
          <w:sz w:val="18"/>
          <w:szCs w:val="18"/>
          <w:color w:val="auto"/>
        </w:rPr>
        <w:t>Under Section 145 of the Delaware General Corporation Law (the “DGCL”), a corporation has the power to indemnify its directors and officers under certain prescribed circumstances and, subject to certain limitations, against certain costs and expenses, including attorneys’ fees, judgments, fines and amounts paid in settlement, actually and reasonably incurred in connection with any threatened, pending or completed action, suit or proceeding, whether criminal, civil, administrative or investigative, to which any of them is a party by reason of his being a director or officer of the corporation if it is determined that he acted in accordance with the applicable standard of conduct set forth in such statutory provision. In addition, a corporation may advance expenses incurred by a director or officer in defending a proceeding upon receipt of an undertaking from such person to repay any amount so advanced if it is ultimately determined that such person is not eligible for indemnification.</w:t>
      </w:r>
    </w:p>
    <w:p>
      <w:pPr>
        <w:spacing w:after="0" w:line="189" w:lineRule="exact"/>
        <w:rPr>
          <w:sz w:val="20"/>
          <w:szCs w:val="20"/>
          <w:color w:val="auto"/>
        </w:rPr>
      </w:pPr>
    </w:p>
    <w:p>
      <w:pPr>
        <w:ind w:firstLine="321"/>
        <w:spacing w:after="0" w:line="277" w:lineRule="auto"/>
        <w:rPr>
          <w:sz w:val="20"/>
          <w:szCs w:val="20"/>
          <w:color w:val="auto"/>
        </w:rPr>
      </w:pPr>
      <w:r>
        <w:rPr>
          <w:rFonts w:ascii="Times New Roman" w:cs="Times New Roman" w:eastAsia="Times New Roman" w:hAnsi="Times New Roman"/>
          <w:sz w:val="18"/>
          <w:szCs w:val="18"/>
          <w:color w:val="auto"/>
        </w:rPr>
        <w:t>The Registrant’s certificate of incorporation contains provisions that eliminate the personal liability of its directors for monetary damages for any breach of fiduciary duties as a director, except liability for the following:</w:t>
      </w:r>
    </w:p>
    <w:p>
      <w:pPr>
        <w:spacing w:after="0" w:line="163" w:lineRule="exact"/>
        <w:rPr>
          <w:sz w:val="20"/>
          <w:szCs w:val="20"/>
          <w:color w:val="auto"/>
        </w:rPr>
      </w:pPr>
    </w:p>
    <w:p>
      <w:pPr>
        <w:ind w:left="800" w:hanging="312"/>
        <w:spacing w:after="0"/>
        <w:tabs>
          <w:tab w:leader="none" w:pos="8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219" w:lineRule="exact"/>
        <w:rPr>
          <w:rFonts w:ascii="Arial" w:cs="Arial" w:eastAsia="Arial" w:hAnsi="Arial"/>
          <w:sz w:val="18"/>
          <w:szCs w:val="18"/>
          <w:b w:val="1"/>
          <w:bCs w:val="1"/>
          <w:color w:val="auto"/>
        </w:rPr>
      </w:pPr>
    </w:p>
    <w:p>
      <w:pPr>
        <w:ind w:left="800" w:hanging="312"/>
        <w:spacing w:after="0"/>
        <w:tabs>
          <w:tab w:leader="none" w:pos="8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219" w:lineRule="exact"/>
        <w:rPr>
          <w:rFonts w:ascii="Arial" w:cs="Arial" w:eastAsia="Arial" w:hAnsi="Arial"/>
          <w:sz w:val="18"/>
          <w:szCs w:val="18"/>
          <w:b w:val="1"/>
          <w:bCs w:val="1"/>
          <w:color w:val="auto"/>
        </w:rPr>
      </w:pPr>
    </w:p>
    <w:p>
      <w:pPr>
        <w:ind w:left="800" w:hanging="312"/>
        <w:spacing w:after="0"/>
        <w:tabs>
          <w:tab w:leader="none" w:pos="8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under Section 174 of the DGCL (regarding unlawful dividends and stock purchases); and</w:t>
      </w:r>
    </w:p>
    <w:p>
      <w:pPr>
        <w:spacing w:after="0" w:line="219" w:lineRule="exact"/>
        <w:rPr>
          <w:rFonts w:ascii="Arial" w:cs="Arial" w:eastAsia="Arial" w:hAnsi="Arial"/>
          <w:sz w:val="18"/>
          <w:szCs w:val="18"/>
          <w:b w:val="1"/>
          <w:bCs w:val="1"/>
          <w:color w:val="auto"/>
        </w:rPr>
      </w:pPr>
    </w:p>
    <w:p>
      <w:pPr>
        <w:ind w:left="800" w:hanging="312"/>
        <w:spacing w:after="0"/>
        <w:tabs>
          <w:tab w:leader="none" w:pos="80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permitted by the DGCL, the Registrant’s bylaws provide that:</w:t>
      </w:r>
    </w:p>
    <w:p>
      <w:pPr>
        <w:spacing w:after="0" w:line="220" w:lineRule="exact"/>
        <w:rPr>
          <w:sz w:val="20"/>
          <w:szCs w:val="20"/>
          <w:color w:val="auto"/>
        </w:rPr>
      </w:pPr>
    </w:p>
    <w:p>
      <w:pPr>
        <w:ind w:left="800" w:right="20" w:hanging="312"/>
        <w:spacing w:after="0" w:line="262" w:lineRule="auto"/>
        <w:tabs>
          <w:tab w:leader="none" w:pos="8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Registrant is required to indemnify its directors and executive officers to the fullest extent permitted by the DGCL against expenses (including attorneys’ fees), judgments, fines, settlements and other amounts actually and reasonably incurred in connection with any proceeding, arising by reason of the fact that such person is or was an agent of the Registrant, subject to very limited exceptions;</w:t>
      </w:r>
    </w:p>
    <w:p>
      <w:pPr>
        <w:spacing w:after="0" w:line="176" w:lineRule="exact"/>
        <w:rPr>
          <w:rFonts w:ascii="Arial" w:cs="Arial" w:eastAsia="Arial" w:hAnsi="Arial"/>
          <w:sz w:val="18"/>
          <w:szCs w:val="18"/>
          <w:b w:val="1"/>
          <w:bCs w:val="1"/>
          <w:color w:val="auto"/>
        </w:rPr>
      </w:pPr>
    </w:p>
    <w:p>
      <w:pPr>
        <w:jc w:val="both"/>
        <w:ind w:left="800" w:right="220" w:hanging="312"/>
        <w:spacing w:after="0" w:line="262" w:lineRule="auto"/>
        <w:tabs>
          <w:tab w:leader="none" w:pos="8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Registrant may indemnify its other employees and agents as set forth in the DGCL against expenses (including attorneys’ fees), judgments, fines, settlements and other amounts actually and reasonably incurred in connection with any proceeding, arising by reason of the fact that such person is or was an agent of the registrant;</w:t>
      </w:r>
    </w:p>
    <w:p>
      <w:pPr>
        <w:spacing w:after="0" w:line="176" w:lineRule="exact"/>
        <w:rPr>
          <w:rFonts w:ascii="Arial" w:cs="Arial" w:eastAsia="Arial" w:hAnsi="Arial"/>
          <w:sz w:val="18"/>
          <w:szCs w:val="18"/>
          <w:b w:val="1"/>
          <w:bCs w:val="1"/>
          <w:color w:val="auto"/>
        </w:rPr>
      </w:pPr>
    </w:p>
    <w:p>
      <w:pPr>
        <w:ind w:left="800" w:right="60" w:hanging="312"/>
        <w:spacing w:after="0" w:line="262" w:lineRule="auto"/>
        <w:tabs>
          <w:tab w:leader="none" w:pos="8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Registrant is required to advance expenses to its directors, executive officers, employees and other agents, incurred in defending any action or proceeding for which indemnification is required or permitted as described above to the fullest extent permitted by the DGCL, subject to certain additional requirements; and</w:t>
      </w:r>
    </w:p>
    <w:p>
      <w:pPr>
        <w:spacing w:after="0" w:line="176" w:lineRule="exact"/>
        <w:rPr>
          <w:rFonts w:ascii="Arial" w:cs="Arial" w:eastAsia="Arial" w:hAnsi="Arial"/>
          <w:sz w:val="18"/>
          <w:szCs w:val="18"/>
          <w:b w:val="1"/>
          <w:bCs w:val="1"/>
          <w:color w:val="auto"/>
        </w:rPr>
      </w:pPr>
    </w:p>
    <w:p>
      <w:pPr>
        <w:ind w:left="800" w:hanging="312"/>
        <w:spacing w:after="0"/>
        <w:tabs>
          <w:tab w:leader="none" w:pos="8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rights to indemnification conferred in the bylaws are not exclusive.</w:t>
      </w:r>
    </w:p>
    <w:p>
      <w:pPr>
        <w:spacing w:after="0" w:line="220" w:lineRule="exact"/>
        <w:rPr>
          <w:sz w:val="20"/>
          <w:szCs w:val="20"/>
          <w:color w:val="auto"/>
        </w:rPr>
      </w:pPr>
    </w:p>
    <w:p>
      <w:pPr>
        <w:ind w:right="260" w:firstLine="401"/>
        <w:spacing w:after="0" w:line="262"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current directors and executive officers. These agreements require the Registrant to indemnify these individuals to the fullest extent not prohibited by Delaware law against liabilities that may arise by reason of their service to the Registrant, and to advance expenses incurred as a result of any proceeding against them as to which they could be indemnified.</w:t>
      </w:r>
    </w:p>
    <w:p>
      <w:pPr>
        <w:spacing w:after="0" w:line="17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1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36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7"/>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0000EE"/>
                <w:w w:val="79"/>
              </w:rPr>
              <w:t>5.</w:t>
            </w:r>
            <w:r>
              <w:rPr>
                <w:rFonts w:ascii="Times New Roman" w:cs="Times New Roman" w:eastAsia="Times New Roman" w:hAnsi="Times New Roman"/>
                <w:sz w:val="18"/>
                <w:szCs w:val="18"/>
                <w:u w:val="single" w:color="auto"/>
                <w:color w:val="0000EE"/>
                <w:w w:val="79"/>
              </w:rPr>
              <w:t>1</w:t>
            </w: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100" w:type="dxa"/>
            <w:vAlign w:val="bottom"/>
            <w:tcBorders>
              <w:top w:val="single" w:sz="8" w:color="auto"/>
            </w:tcBorders>
            <w:gridSpan w:val="8"/>
          </w:tcPr>
          <w:p>
            <w:pPr>
              <w:spacing w:after="0" w:line="167" w:lineRule="exact"/>
              <w:rPr>
                <w:sz w:val="20"/>
                <w:szCs w:val="20"/>
                <w:color w:val="auto"/>
              </w:rPr>
            </w:pPr>
            <w:r>
              <w:rPr>
                <w:rFonts w:ascii="Times New Roman" w:cs="Times New Roman" w:eastAsia="Times New Roman" w:hAnsi="Times New Roman"/>
                <w:sz w:val="18"/>
                <w:szCs w:val="18"/>
                <w:color w:val="0000EE"/>
              </w:rPr>
              <w:t>Opinion of Perkins Coie LLP regarding legality of the Common Stock being registered</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01"/>
        </w:trPr>
        <w:tc>
          <w:tcPr>
            <w:tcW w:w="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BPM LLP, independent registered public accounting firm</w:t>
            </w:r>
          </w:p>
        </w:tc>
        <w:tc>
          <w:tcPr>
            <w:tcW w:w="5180" w:type="dxa"/>
            <w:vAlign w:val="bottom"/>
            <w:gridSpan w:val="5"/>
          </w:tcPr>
          <w:p>
            <w:pPr>
              <w:spacing w:after="0"/>
              <w:rPr>
                <w:sz w:val="24"/>
                <w:szCs w:val="24"/>
                <w:color w:val="auto"/>
              </w:rPr>
            </w:pPr>
          </w:p>
        </w:tc>
      </w:tr>
      <w:tr>
        <w:trPr>
          <w:trHeight w:val="301"/>
        </w:trPr>
        <w:tc>
          <w:tcPr>
            <w:tcW w:w="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Consent of Perkins Coie LLP (included in opinion filed as Exhibit 5.1)</w:t>
            </w:r>
          </w:p>
        </w:tc>
      </w:tr>
      <w:tr>
        <w:trPr>
          <w:trHeight w:val="301"/>
        </w:trPr>
        <w:tc>
          <w:tcPr>
            <w:tcW w:w="32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Power of Attorney (see signature page to this Registration Statement)</w:t>
            </w:r>
          </w:p>
        </w:tc>
        <w:tc>
          <w:tcPr>
            <w:tcW w:w="80" w:type="dxa"/>
            <w:vAlign w:val="bottom"/>
            <w:tcBorders>
              <w:top w:val="single" w:sz="8" w:color="0000EE"/>
            </w:tcBorders>
          </w:tcPr>
          <w:p>
            <w:pPr>
              <w:spacing w:after="0"/>
              <w:rPr>
                <w:sz w:val="24"/>
                <w:szCs w:val="24"/>
                <w:color w:val="auto"/>
              </w:rPr>
            </w:pPr>
          </w:p>
        </w:tc>
        <w:tc>
          <w:tcPr>
            <w:tcW w:w="5060" w:type="dxa"/>
            <w:vAlign w:val="bottom"/>
            <w:gridSpan w:val="3"/>
          </w:tcPr>
          <w:p>
            <w:pPr>
              <w:spacing w:after="0"/>
              <w:rPr>
                <w:sz w:val="24"/>
                <w:szCs w:val="24"/>
                <w:color w:val="auto"/>
              </w:rPr>
            </w:pPr>
          </w:p>
        </w:tc>
      </w:tr>
      <w:tr>
        <w:trPr>
          <w:trHeight w:val="301"/>
        </w:trPr>
        <w:tc>
          <w:tcPr>
            <w:tcW w:w="320" w:type="dxa"/>
            <w:vAlign w:val="bottom"/>
            <w:gridSpan w:val="4"/>
          </w:tcPr>
          <w:p>
            <w:pPr>
              <w:spacing w:after="0"/>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gridSpan w:val="8"/>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Energous Corporation Amended and Restated 2024 Equity Incentive Plan (incorporated by reference to Exhibit 10.1 to the Registrant’s</w:t>
              </w:r>
            </w:hyperlink>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Current Report on Form 8-K filed on June 12, 2026)</w:t>
              </w:r>
            </w:hyperlink>
          </w:p>
        </w:tc>
        <w:tc>
          <w:tcPr>
            <w:tcW w:w="460" w:type="dxa"/>
            <w:vAlign w:val="bottom"/>
          </w:tcPr>
          <w:p>
            <w:pPr>
              <w:spacing w:after="0"/>
              <w:rPr>
                <w:sz w:val="16"/>
                <w:szCs w:val="16"/>
                <w:color w:val="auto"/>
              </w:rPr>
            </w:pPr>
          </w:p>
        </w:tc>
      </w:tr>
      <w:tr>
        <w:trPr>
          <w:trHeight w:val="301"/>
        </w:trPr>
        <w:tc>
          <w:tcPr>
            <w:tcW w:w="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107</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6360" w:type="dxa"/>
            <w:vAlign w:val="bottom"/>
            <w:gridSpan w:val="6"/>
          </w:tcPr>
          <w:p>
            <w:pPr>
              <w:spacing w:after="0"/>
              <w:rPr>
                <w:sz w:val="24"/>
                <w:szCs w:val="24"/>
                <w:color w:val="auto"/>
              </w:rPr>
            </w:pPr>
          </w:p>
        </w:tc>
      </w:tr>
      <w:tr>
        <w:trPr>
          <w:trHeight w:val="715"/>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9" w:right="339" w:bottom="1440" w:gutter="0" w:footer="0" w:header="0"/>
        </w:sectPr>
      </w:pPr>
    </w:p>
    <w:bookmarkStart w:id="3" w:name="page4"/>
    <w:bookmarkEnd w:id="3"/>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4" w:lineRule="exact"/>
        <w:rPr>
          <w:sz w:val="20"/>
          <w:szCs w:val="20"/>
          <w:color w:val="auto"/>
        </w:rPr>
      </w:pPr>
    </w:p>
    <w:p>
      <w:pPr>
        <w:ind w:left="800" w:hanging="473"/>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1300" w:hanging="52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800" w:hanging="511"/>
        <w:spacing w:after="0"/>
        <w:tabs>
          <w:tab w:leader="none" w:pos="180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ind w:firstLine="1289"/>
        <w:spacing w:after="0" w:line="262" w:lineRule="auto"/>
        <w:tabs>
          <w:tab w:leader="none" w:pos="179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7" w:lineRule="exact"/>
        <w:rPr>
          <w:rFonts w:ascii="Times New Roman" w:cs="Times New Roman" w:eastAsia="Times New Roman" w:hAnsi="Times New Roman"/>
          <w:sz w:val="18"/>
          <w:szCs w:val="18"/>
          <w:color w:val="auto"/>
        </w:rPr>
      </w:pPr>
    </w:p>
    <w:p>
      <w:pPr>
        <w:ind w:right="180" w:firstLine="1289"/>
        <w:spacing w:after="0" w:line="277" w:lineRule="auto"/>
        <w:tabs>
          <w:tab w:leader="none" w:pos="178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ind w:right="180" w:firstLine="1282"/>
        <w:spacing w:after="0" w:line="263"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(1)(a) and (1)(b)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176" w:lineRule="exact"/>
        <w:rPr>
          <w:sz w:val="20"/>
          <w:szCs w:val="20"/>
          <w:color w:val="auto"/>
        </w:rPr>
      </w:pPr>
    </w:p>
    <w:p>
      <w:pPr>
        <w:ind w:right="140" w:firstLine="776"/>
        <w:spacing w:after="0" w:line="262" w:lineRule="auto"/>
        <w:tabs>
          <w:tab w:leader="none" w:pos="12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right="380" w:firstLine="776"/>
        <w:spacing w:after="0" w:line="277" w:lineRule="auto"/>
        <w:tabs>
          <w:tab w:leader="none" w:pos="12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right="260" w:firstLine="327"/>
        <w:spacing w:after="0" w:line="255" w:lineRule="auto"/>
        <w:tabs>
          <w:tab w:leader="none" w:pos="7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right="20" w:firstLine="327"/>
        <w:spacing w:after="0" w:line="270" w:lineRule="auto"/>
        <w:tabs>
          <w:tab w:leader="none" w:pos="7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38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June 23, 2026.</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ENERGOUS CORPORATION</w:t>
      </w:r>
    </w:p>
    <w:p>
      <w:pPr>
        <w:spacing w:after="0" w:line="224" w:lineRule="exact"/>
        <w:rPr>
          <w:sz w:val="20"/>
          <w:szCs w:val="20"/>
          <w:color w:val="auto"/>
        </w:rPr>
      </w:pPr>
    </w:p>
    <w:tbl>
      <w:tblPr>
        <w:tblLayout w:type="fixed"/>
        <w:tblInd w:w="5640" w:type="dxa"/>
        <w:tblCellMar>
          <w:top w:w="0" w:type="dxa"/>
          <w:left w:w="0" w:type="dxa"/>
          <w:bottom w:w="0" w:type="dxa"/>
          <w:right w:w="0" w:type="dxa"/>
        </w:tblCellMar>
      </w:tblPr>
      <w:tr>
        <w:trPr>
          <w:trHeight w:val="2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Mallorie Burak</w:t>
            </w:r>
          </w:p>
        </w:tc>
      </w:tr>
      <w:tr>
        <w:trPr>
          <w:trHeight w:val="189"/>
        </w:trPr>
        <w:tc>
          <w:tcPr>
            <w:tcW w:w="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Mallorie Burak</w:t>
            </w:r>
          </w:p>
        </w:tc>
      </w:tr>
      <w:tr>
        <w:trPr>
          <w:trHeight w:val="2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40" w:firstLine="385"/>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the undersigned officers and directors of Energous Corporation, a Delaware corporation, do hereby constitute and appoint Mallorie Burak (including any successor thereto appointed as principal executive officer), the lawful attorney-in-fact and agent with full power and authority to do any and all acts and things and to execute any and all instruments which said attorney and agent determines may be necessary or advisable or required to enable said corporation to comply with the Securities Act of 1933, as amended, and any rules or regulations or requirements of the Securities and Exchange Commission in connection with this Registration Statement. Without limiting the generality of the foregoing power and authority, the powers granted include the power and authority to sign the names of the undersigned officers and directors in the capacities indicated below to this Registration Statement, to any and all amendments, both pre-effective and post-effective, and supplements to this Registration Statement, and to any and all instruments or documents filed as part of or in conjunction with this Registration Statement or amendments or supplements thereof, and each of the undersigned hereby ratifies and confirms that all said attorney and agent shall do or cause to be done by virtue hereof.</w:t>
      </w:r>
    </w:p>
    <w:p>
      <w:pPr>
        <w:spacing w:after="0" w:line="189" w:lineRule="exact"/>
        <w:rPr>
          <w:sz w:val="20"/>
          <w:szCs w:val="20"/>
          <w:color w:val="auto"/>
        </w:rPr>
      </w:pPr>
    </w:p>
    <w:p>
      <w:pPr>
        <w:ind w:firstLine="385"/>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49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Mallorie Burak</w:t>
            </w: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r>
        <w:trPr>
          <w:trHeight w:val="175"/>
        </w:trPr>
        <w:tc>
          <w:tcPr>
            <w:tcW w:w="3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Mallorie Burak</w:t>
            </w:r>
          </w:p>
        </w:tc>
        <w:tc>
          <w:tcPr>
            <w:tcW w:w="538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(Principal Executive Officer and Principal Financial Officer), and</w:t>
            </w:r>
          </w:p>
        </w:tc>
        <w:tc>
          <w:tcPr>
            <w:tcW w:w="2240" w:type="dxa"/>
            <w:vAlign w:val="bottom"/>
          </w:tcPr>
          <w:p>
            <w:pPr>
              <w:spacing w:after="0"/>
              <w:rPr>
                <w:sz w:val="15"/>
                <w:szCs w:val="15"/>
                <w:color w:val="auto"/>
              </w:rPr>
            </w:pPr>
          </w:p>
        </w:tc>
      </w:tr>
      <w:tr>
        <w:trPr>
          <w:trHeight w:val="233"/>
        </w:trPr>
        <w:tc>
          <w:tcPr>
            <w:tcW w:w="3620" w:type="dxa"/>
            <w:vAlign w:val="bottom"/>
          </w:tcPr>
          <w:p>
            <w:pPr>
              <w:spacing w:after="0"/>
              <w:rPr>
                <w:sz w:val="20"/>
                <w:szCs w:val="20"/>
                <w:color w:val="auto"/>
              </w:rPr>
            </w:pP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p>
        </w:tc>
      </w:tr>
      <w:tr>
        <w:trPr>
          <w:trHeight w:val="42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Sadikoff</w:t>
            </w: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r>
        <w:trPr>
          <w:trHeight w:val="2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Gregory Sadikoff</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Roberson</w:t>
            </w: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 and Board Chair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r>
        <w:trPr>
          <w:trHeight w:val="2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David Roberson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Michael Dodson</w:t>
            </w: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r>
        <w:trPr>
          <w:trHeight w:val="2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 Michael Dodson</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9"/>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Rahul Patel</w:t>
            </w:r>
          </w:p>
        </w:tc>
        <w:tc>
          <w:tcPr>
            <w:tcW w:w="53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23, 2026</w:t>
            </w:r>
          </w:p>
        </w:tc>
      </w:tr>
      <w:tr>
        <w:trPr>
          <w:trHeight w:val="22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Rahul Patel</w:t>
            </w:r>
          </w:p>
        </w:tc>
        <w:tc>
          <w:tcPr>
            <w:tcW w:w="2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49"/>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5" w:name="page6"/>
    <w:bookmarkEnd w:id="5"/>
    <w:p>
      <w:pPr>
        <w:spacing w:after="0" w:line="1"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298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tc>
      </w:tr>
      <w:tr>
        <w:trPr>
          <w:trHeight w:val="409"/>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Perkins Coie LLP</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 +1.303.291.2300</w:t>
            </w: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1900 Sixteenth Street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 +1.303.291.2400</w:t>
            </w:r>
          </w:p>
        </w:tc>
      </w:tr>
      <w:tr>
        <w:trPr>
          <w:trHeight w:val="21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Suite 1400</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perkinscoie.com</w:t>
            </w:r>
          </w:p>
        </w:tc>
      </w:tr>
      <w:tr>
        <w:trPr>
          <w:trHeight w:val="23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Denver, CO 80202-5255</w:t>
            </w: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-542290</wp:posOffset>
            </wp:positionV>
            <wp:extent cx="1060450" cy="466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060450" cy="46672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Energous Corporation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3590 North First Street, Suite 330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 95134</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 of Shares of Stock, par value $0.00001 per share, of Energous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We have acted as counsel to Energous Corporation (d/b/a Energous Wireless Power Solutions) (the “Company”) in connection with the preparation of a Registration Statement on Form S-8 (the “Registration Statement”) under the Securities Act of 1933, as amended (the “Act”), which the Company is filing with the Securities and Exchange Commission (the “Commission”) with respect to up to 300,000 shares of the Company’s common stock, par value $0.00001 per share (the “Shares”), that may be issued under the Company’s Amended and Restated 2024 Equity Incentive Plan (the “Plan”).</w:t>
      </w:r>
    </w:p>
    <w:p>
      <w:pPr>
        <w:spacing w:after="0" w:line="182" w:lineRule="exact"/>
        <w:rPr>
          <w:sz w:val="20"/>
          <w:szCs w:val="20"/>
          <w:color w:val="auto"/>
        </w:rPr>
      </w:pPr>
    </w:p>
    <w:p>
      <w:pPr>
        <w:ind w:right="560"/>
        <w:spacing w:after="0" w:line="262" w:lineRule="auto"/>
        <w:rPr>
          <w:sz w:val="20"/>
          <w:szCs w:val="20"/>
          <w:color w:val="auto"/>
        </w:rPr>
      </w:pPr>
      <w:r>
        <w:rPr>
          <w:rFonts w:ascii="Times New Roman" w:cs="Times New Roman" w:eastAsia="Times New Roman" w:hAnsi="Times New Roman"/>
          <w:sz w:val="18"/>
          <w:szCs w:val="18"/>
          <w:color w:val="auto"/>
        </w:rPr>
        <w:t>We have examined the Registration Statement and such documents and records of the Company as we have deemed necessary for the purposes of this opinion. In giving this opinion, we have assumed the authenticity of all instruments presented to us as originals, the conformity with originals of all instruments presented to us as copies and the genuineness of all signatures.</w:t>
      </w:r>
    </w:p>
    <w:p>
      <w:pPr>
        <w:spacing w:after="0" w:line="1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any Shares that may be issued by the Company pursuant to the Plan, upon registration by its registrar of such Shares and the issuance thereof by the Company in accordance with the terms of the Plan, and the receipt of consideration therefor in accordance with the terms of the Plan, will be legally issued, fully paid and nonassessable.</w:t>
      </w:r>
    </w:p>
    <w:p>
      <w:pPr>
        <w:spacing w:after="0" w:line="1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admit that we are in the category of persons whose consent is required under Section 7 of the Act or the rules and regulations of the Commission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PERKINS COIE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Energous Corporation of our report dated March 26, 2026 relating to the financial statements, which appears in Energous Corporation’s Annual Report on Form 10-K for the year ended December 31, 2025.</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Energous Corp</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4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300,000</w:t>
            </w:r>
          </w:p>
        </w:tc>
        <w:tc>
          <w:tcPr>
            <w:tcW w:w="20" w:type="dxa"/>
            <w:vAlign w:val="bottom"/>
          </w:tcPr>
          <w:p>
            <w:pPr>
              <w:spacing w:after="0"/>
              <w:rPr>
                <w:sz w:val="20"/>
                <w:szCs w:val="20"/>
                <w:color w:val="auto"/>
              </w:rPr>
            </w:pPr>
          </w:p>
        </w:tc>
        <w:tc>
          <w:tcPr>
            <w:tcW w:w="13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$ 26.10</w:t>
            </w:r>
          </w:p>
        </w:tc>
        <w:tc>
          <w:tcPr>
            <w:tcW w:w="40" w:type="dxa"/>
            <w:vAlign w:val="bottom"/>
          </w:tcPr>
          <w:p>
            <w:pPr>
              <w:spacing w:after="0"/>
              <w:rPr>
                <w:sz w:val="20"/>
                <w:szCs w:val="20"/>
                <w:color w:val="auto"/>
              </w:rPr>
            </w:pPr>
          </w:p>
        </w:tc>
        <w:tc>
          <w:tcPr>
            <w:tcW w:w="148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$ 7,830,000.00</w:t>
            </w:r>
          </w:p>
        </w:tc>
        <w:tc>
          <w:tcPr>
            <w:tcW w:w="40" w:type="dxa"/>
            <w:vAlign w:val="bottom"/>
          </w:tcPr>
          <w:p>
            <w:pPr>
              <w:spacing w:after="0"/>
              <w:rPr>
                <w:sz w:val="20"/>
                <w:szCs w:val="20"/>
                <w:color w:val="auto"/>
              </w:rPr>
            </w:pPr>
          </w:p>
        </w:tc>
        <w:tc>
          <w:tcPr>
            <w:tcW w:w="10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$ 1,081.32</w:t>
            </w:r>
          </w:p>
        </w:tc>
        <w:tc>
          <w:tcPr>
            <w:tcW w:w="4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95"/>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Arial" w:cs="Arial" w:eastAsia="Arial" w:hAnsi="Arial"/>
                <w:sz w:val="21"/>
                <w:szCs w:val="21"/>
                <w:color w:val="auto"/>
              </w:rPr>
              <w:t>$ 7,830,000.00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$ 1,081.32</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$ 1,081.32</w:t>
            </w:r>
          </w:p>
        </w:tc>
        <w:tc>
          <w:tcPr>
            <w:tcW w:w="40" w:type="dxa"/>
            <w:vAlign w:val="bottom"/>
            <w:tcBorders>
              <w:right w:val="single" w:sz="8" w:color="auto"/>
            </w:tcBorders>
          </w:tcPr>
          <w:p>
            <w:pPr>
              <w:spacing w:after="0"/>
              <w:rPr>
                <w:sz w:val="24"/>
                <w:szCs w:val="24"/>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60" w:firstLine="2"/>
        <w:spacing w:after="0" w:line="243" w:lineRule="auto"/>
        <w:tabs>
          <w:tab w:leader="none" w:pos="1121" w:val="left"/>
        </w:tabs>
        <w:numPr>
          <w:ilvl w:val="0"/>
          <w:numId w:val="7"/>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on Form S-8 also covers any additional shares of common stock, par value $0.00001 per share ("Common Stock"), of Energous Corporation (the "Registrant") that may become issuable under the Registrant's Amended and Restated 2024 Equity Incentive Plan (the "2024 Plan") by reason of any future stock splits, stock dividends or similar adjustments of the Common Stock. The Amount Registered represents 300,000 shares of Common Stock that may be issued under the 2024 Plan. The Proposed Maximum Offering Price Per Unit is estimated solely for the purpose of calculating the registration fee pursuant to Rule 457(c) and Rule 457(h) of the Securities Act, based on the average of the high sales price ($27.70) and low sales price ($24.50) of the Common Stock as reported on The Nasdaq Capital Market on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80010</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6"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jpe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20" Type="http://schemas.openxmlformats.org/officeDocument/2006/relationships/hyperlink" Target="https://www.sec.gov/Archives/edgar/data/1575793/000110465926035214/watt-20251231x10k.htm" TargetMode="External"/><Relationship Id="rId21" Type="http://schemas.openxmlformats.org/officeDocument/2006/relationships/hyperlink" Target="https://www.sec.gov/Archives/edgar/data/1575793/000110465926061191/watt-20260331x10q.htm" TargetMode="External"/><Relationship Id="rId22" Type="http://schemas.openxmlformats.org/officeDocument/2006/relationships/hyperlink" Target="https://www.sec.gov/Archives/edgar/data/1575793/000110465926004553/tm263396d1_8k.htm" TargetMode="External"/><Relationship Id="rId23" Type="http://schemas.openxmlformats.org/officeDocument/2006/relationships/hyperlink" Target="https://www.sec.gov/Archives/edgar/data/1575793/000110465926073510/tm2617856d1_8k.htm" TargetMode="External"/><Relationship Id="rId24" Type="http://schemas.openxmlformats.org/officeDocument/2006/relationships/hyperlink" Target="https://www.sec.gov/Archives/edgar/data/1575793/000114420414017842/v372785_8a12b.htm" TargetMode="External"/><Relationship Id="rId25" Type="http://schemas.openxmlformats.org/officeDocument/2006/relationships/hyperlink" Target="https://www.sec.gov/Archives/edgar/data/1575793/000110465926035214/watt-20251231xex4d2.htm" TargetMode="External"/><Relationship Id="rId27" Type="http://schemas.openxmlformats.org/officeDocument/2006/relationships/hyperlink" Target="https://www.sec.gov/Archives/edgar/data/1575793/000110465926073510/tm261785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2026-06-23T15:56:22Z</dcterms:created>
  <dcterms:modified xsi:type="dcterms:W3CDTF">2026-06-23T15:56:22Z</dcterms:modified>
</cp:coreProperties>
</file>