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watt-20230930.htm"/>
      <w:bookmarkStart w:id="1" w:name="kswatt20230930"/>
      <w:bookmarkEnd w:id="0"/>
      <w:bookmarkEnd w:id="1"/>
      <w:r>
        <w:rPr/>
        <w:t> </w:t>
      </w:r>
    </w:p>
    <w:p>
      <w:pPr>
        <w:pStyle w:val="TextBody"/>
        <w:pBdr>
          <w:bottom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001-36379</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ENERGOUS CORPORATION</w:t>
      </w:r>
    </w:p>
    <w:p>
      <w:pPr>
        <w:pStyle w:val="TextBody"/>
        <w:bidi w:val="0"/>
        <w:spacing w:before="80" w:after="283"/>
        <w:jc w:val="center"/>
        <w:rPr>
          <w:rFonts w:ascii="Times New Roman" w:hAnsi="Times New Roman"/>
          <w:sz w:val="20"/>
        </w:rPr>
      </w:pPr>
      <w:r>
        <w:rPr>
          <w:rFonts w:ascii="Times New Roman" w:hAnsi="Times New Roman"/>
          <w:b w:val="false"/>
          <w:i/>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5233" w:type="dxa"/>
        <w:jc w:val="left"/>
        <w:tblInd w:w="0" w:type="dxa"/>
        <w:tblLayout w:type="fixed"/>
        <w:tblCellMar>
          <w:top w:w="28" w:type="dxa"/>
          <w:left w:w="28" w:type="dxa"/>
          <w:bottom w:w="28" w:type="dxa"/>
          <w:right w:w="28" w:type="dxa"/>
        </w:tblCellMar>
      </w:tblPr>
      <w:tblGrid>
        <w:gridCol w:w="2071"/>
        <w:gridCol w:w="146"/>
        <w:gridCol w:w="30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46-1318953</w:t>
            </w:r>
          </w:p>
        </w:tc>
      </w:tr>
      <w:tr>
        <w:trPr/>
        <w:tc>
          <w:tcPr>
            <w:tcW w:w="2071" w:type="dxa"/>
            <w:tcBorders/>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(State of incorporation)</w:t>
            </w:r>
          </w:p>
        </w:tc>
        <w:tc>
          <w:tcPr>
            <w:tcW w:w="146" w:type="dxa"/>
            <w:tcBorders/>
            <w:vAlign w:val="center"/>
          </w:tcPr>
          <w:p>
            <w:pPr>
              <w:pStyle w:val="TableContents"/>
              <w:bidi w:val="0"/>
              <w:spacing w:before="0" w:after="283"/>
              <w:jc w:val="center"/>
              <w:rPr/>
            </w:pPr>
            <w:r>
              <w:rPr/>
              <w:t> </w:t>
            </w:r>
          </w:p>
        </w:tc>
        <w:tc>
          <w:tcPr>
            <w:tcW w:w="3016" w:type="dxa"/>
            <w:tcBorders/>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(I.R.S. Employer 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3590 North First Street, Suite 210, San Jose, CA</w:t>
      </w:r>
      <w:r>
        <w:rPr>
          <w:rFonts w:ascii="Times New Roman" w:hAnsi="Times New Roman"/>
          <w:color w:val="000000"/>
          <w:sz w:val="20"/>
        </w:rPr>
        <w:t xml:space="preserve"> </w:t>
      </w:r>
      <w:r>
        <w:rPr>
          <w:rFonts w:ascii="Times New Roman" w:hAnsi="Times New Roman"/>
          <w:b/>
          <w:color w:val="000000"/>
          <w:sz w:val="20"/>
        </w:rPr>
        <w:t>95134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i/>
          <w:color w:val="000000"/>
          <w:sz w:val="16"/>
        </w:rPr>
        <w:t>(Address of principal executive office)</w:t>
      </w:r>
      <w:r>
        <w:rPr>
          <w:rFonts w:ascii="Times New Roman" w:hAnsi="Times New Roman"/>
          <w:color w:val="000000"/>
          <w:sz w:val="20"/>
        </w:rPr>
        <w:t xml:space="preserve"> </w:t>
      </w:r>
      <w:r>
        <w:rPr>
          <w:rFonts w:ascii="Times New Roman" w:hAnsi="Times New Roman"/>
          <w:b w:val="false"/>
          <w:color w:val="000000"/>
          <w:sz w:val="16"/>
        </w:rPr>
        <w:t>(Zip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(408) 963-0200</w:t>
      </w:r>
    </w:p>
    <w:p>
      <w:pPr>
        <w:pStyle w:val="TextBody"/>
        <w:bidi w:val="0"/>
        <w:jc w:val="center"/>
        <w:rPr>
          <w:rFonts w:ascii="Times New Roman" w:hAnsi="Times New Roman"/>
          <w:sz w:val="20"/>
        </w:rPr>
      </w:pPr>
      <w:r>
        <w:rPr>
          <w:rFonts w:ascii="Times New Roman" w:hAnsi="Times New Roman"/>
          <w:b w:val="false"/>
          <w:i/>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2656"/>
        <w:gridCol w:w="146"/>
        <w:gridCol w:w="826"/>
        <w:gridCol w:w="146"/>
        <w:gridCol w:w="3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5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 Stock, $0.00001 par value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WATT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The Nasdaq Stock Market</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As of November 9, 2023, there were 5,210,361</w:t>
      </w:r>
      <w:r>
        <w:rPr>
          <w:rFonts w:ascii="Times New Roman" w:hAnsi="Times New Roman"/>
          <w:color w:val="000000"/>
          <w:sz w:val="20"/>
        </w:rPr>
        <w:t xml:space="preserve"> </w:t>
      </w:r>
      <w:r>
        <w:rPr>
          <w:rFonts w:ascii="Times New Roman" w:hAnsi="Times New Roman"/>
          <w:b w:val="false"/>
          <w:color w:val="000000"/>
          <w:sz w:val="20"/>
        </w:rPr>
        <w:t>shares of our Common Stock, par value $0.00001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ENERGOUS CORPORATION</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SEPTEMBER 30, 2023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8056"/>
        <w:gridCol w:w="206"/>
        <w:gridCol w:w="361"/>
      </w:tblGrid>
      <w:tr>
        <w:trPr/>
        <w:tc>
          <w:tcPr>
            <w:tcW w:w="80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056" w:type="dxa"/>
            <w:tcBorders/>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000FF"/>
                  <w:sz w:val="20"/>
                  <w:u w:val="single"/>
                </w:rPr>
                <w:t>PART I - FINANCIAL INFORMATION</w:t>
              </w:r>
            </w:hyperlink>
          </w:p>
        </w:tc>
        <w:tc>
          <w:tcPr>
            <w:tcW w:w="20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Item 1. Financial Statements</w:t>
              </w:r>
            </w:hyperlink>
          </w:p>
        </w:tc>
        <w:tc>
          <w:tcPr>
            <w:tcW w:w="20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Item 3. Quantitative and Qualitative Disclosure About Market Risk</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part_ii_or_information">
              <w:r>
                <w:rPr>
                  <w:rStyle w:val="InternetLink"/>
                  <w:rFonts w:ascii="Times New Roman" w:hAnsi="Times New Roman"/>
                  <w:b w:val="false"/>
                  <w:color w:val="0000FF"/>
                  <w:sz w:val="20"/>
                  <w:u w:val="single"/>
                </w:rPr>
                <w:t>PART II – OTHER INFORMATION</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Item 1A. Risk Factors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60" w:hanging="0"/>
              <w:jc w:val="right"/>
              <w:rPr/>
            </w:pPr>
            <w:r>
              <w:rPr/>
              <w:t> </w:t>
            </w:r>
          </w:p>
        </w:tc>
        <w:tc>
          <w:tcPr>
            <w:tcW w:w="361" w:type="dxa"/>
            <w:tcBorders/>
            <w:vAlign w:val="center"/>
          </w:tcPr>
          <w:p>
            <w:pPr>
              <w:pStyle w:val="TableContents"/>
              <w:bidi w:val="0"/>
              <w:spacing w:before="0" w:after="283"/>
              <w:ind w:left="0" w:right="60" w:hanging="0"/>
              <w:jc w:val="right"/>
              <w:rPr/>
            </w:pPr>
            <w:r>
              <w:rPr/>
              <w:t> </w:t>
            </w:r>
          </w:p>
        </w:tc>
      </w:tr>
      <w:tr>
        <w:trPr/>
        <w:tc>
          <w:tcPr>
            <w:tcW w:w="8056" w:type="dxa"/>
            <w:tcBorders/>
            <w:vAlign w:val="center"/>
          </w:tcPr>
          <w:p>
            <w:pPr>
              <w:pStyle w:val="TableContents"/>
              <w:bidi w:val="0"/>
              <w:spacing w:before="0" w:after="283"/>
              <w:jc w:val="left"/>
              <w:rPr/>
            </w:pPr>
            <w:hyperlink w:anchor="item_2_recent_sales_unregistered_securit">
              <w:r>
                <w:rPr>
                  <w:rStyle w:val="InternetLink"/>
                  <w:rFonts w:ascii="Times New Roman" w:hAnsi="Times New Roman"/>
                  <w:b w:val="false"/>
                  <w:color w:val="0000FF"/>
                  <w:sz w:val="20"/>
                  <w:u w:val="single"/>
                </w:rPr>
                <w:t>Item 2. Sales of Unregistered Securities; Use of Proceeds; and Issuer Purchases of Equity Securities</w:t>
              </w:r>
            </w:hyperlink>
          </w:p>
        </w:tc>
        <w:tc>
          <w:tcPr>
            <w:tcW w:w="20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Item 5. Other Information</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05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right"/>
              <w:rPr/>
            </w:pPr>
            <w:r>
              <w:rPr/>
              <w:t> </w:t>
            </w:r>
          </w:p>
        </w:tc>
        <w:tc>
          <w:tcPr>
            <w:tcW w:w="361" w:type="dxa"/>
            <w:tcBorders/>
            <w:vAlign w:val="center"/>
          </w:tcPr>
          <w:p>
            <w:pPr>
              <w:pStyle w:val="TableContents"/>
              <w:bidi w:val="0"/>
              <w:spacing w:before="0" w:after="283"/>
              <w:jc w:val="right"/>
              <w:rPr/>
            </w:pPr>
            <w:r>
              <w:rPr/>
              <w:t> </w:t>
            </w:r>
          </w:p>
        </w:tc>
      </w:tr>
      <w:tr>
        <w:trPr/>
        <w:tc>
          <w:tcPr>
            <w:tcW w:w="805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Item 6. Exhibits</w:t>
              </w:r>
            </w:hyperlink>
          </w:p>
        </w:tc>
        <w:tc>
          <w:tcPr>
            <w:tcW w:w="206" w:type="dxa"/>
            <w:tcBorders/>
            <w:vAlign w:val="center"/>
          </w:tcPr>
          <w:p>
            <w:pPr>
              <w:pStyle w:val="TableContents"/>
              <w:bidi w:val="0"/>
              <w:spacing w:before="0" w:after="283"/>
              <w:jc w:val="center"/>
              <w:rPr/>
            </w:pPr>
            <w:r>
              <w:rPr/>
              <w:t> </w:t>
            </w:r>
          </w:p>
        </w:tc>
        <w:tc>
          <w:tcPr>
            <w:tcW w:w="36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bm117"/>
      <w:bookmarkStart w:id="3" w:name="bm114"/>
      <w:bookmarkStart w:id="4" w:name="bm115"/>
      <w:bookmarkStart w:id="5" w:name="bm113"/>
      <w:bookmarkStart w:id="6" w:name="bm119"/>
      <w:bookmarkStart w:id="7" w:name="bm118"/>
      <w:bookmarkStart w:id="8" w:name="bm116"/>
      <w:bookmarkEnd w:id="2"/>
      <w:bookmarkEnd w:id="3"/>
      <w:bookmarkEnd w:id="4"/>
      <w:bookmarkEnd w:id="5"/>
      <w:bookmarkEnd w:id="6"/>
      <w:bookmarkEnd w:id="7"/>
      <w:bookmarkEnd w:id="8"/>
      <w:r>
        <w:rPr>
          <w:rFonts w:ascii="Times New Roman" w:hAnsi="Times New Roman"/>
          <w:b/>
          <w:color w:val="000000"/>
          <w:sz w:val="20"/>
        </w:rPr>
        <w:t>PART I - FINANC</w:t>
      </w:r>
      <w:bookmarkStart w:id="9" w:name="part_i_financial_information"/>
      <w:bookmarkEnd w:id="9"/>
      <w:r>
        <w:rPr>
          <w:rFonts w:ascii="Times New Roman" w:hAnsi="Times New Roman"/>
          <w:b/>
          <w:color w:val="000000"/>
          <w:sz w:val="20"/>
        </w:rPr>
        <w:t>IAL INFORMATION</w:t>
      </w:r>
    </w:p>
    <w:p>
      <w:pPr>
        <w:pStyle w:val="TextBody"/>
        <w:bidi w:val="0"/>
        <w:spacing w:before="200" w:after="283"/>
        <w:jc w:val="left"/>
        <w:rPr>
          <w:rFonts w:ascii="Times New Roman" w:hAnsi="Times New Roman"/>
          <w:b/>
          <w:color w:val="000000"/>
          <w:sz w:val="20"/>
        </w:rPr>
      </w:pPr>
      <w:bookmarkStart w:id="10" w:name="item_1_financial_statements"/>
      <w:bookmarkEnd w:id="10"/>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Energous Corporation</w:t>
      </w:r>
    </w:p>
    <w:p>
      <w:pPr>
        <w:pStyle w:val="TextBody"/>
        <w:bidi w:val="0"/>
        <w:jc w:val="center"/>
        <w:rPr>
          <w:rFonts w:ascii="Times New Roman" w:hAnsi="Times New Roman"/>
          <w:b/>
          <w:color w:val="000000"/>
          <w:sz w:val="20"/>
        </w:rPr>
      </w:pPr>
      <w:bookmarkStart w:id="11" w:name="balance_sheets"/>
      <w:bookmarkEnd w:id="11"/>
      <w:r>
        <w:rPr>
          <w:rFonts w:ascii="Times New Roman" w:hAnsi="Times New Roman"/>
          <w:b/>
          <w:color w:val="000000"/>
          <w:sz w:val="20"/>
        </w:rPr>
        <w:t>CONDENSED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5"/>
        <w:gridCol w:w="146"/>
        <w:gridCol w:w="216"/>
        <w:gridCol w:w="1229"/>
        <w:gridCol w:w="166"/>
        <w:gridCol w:w="146"/>
        <w:gridCol w:w="214"/>
        <w:gridCol w:w="1220"/>
        <w:gridCol w:w="613"/>
      </w:tblGrid>
      <w:tr>
        <w:trPr/>
        <w:tc>
          <w:tcPr>
            <w:tcW w:w="6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4"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6255"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34" w:type="dxa"/>
            <w:gridSpan w:val="2"/>
            <w:tcBorders/>
            <w:shd w:fill="CFF0FC" w:val="clear"/>
            <w:vAlign w:val="center"/>
          </w:tcPr>
          <w:p>
            <w:pPr>
              <w:pStyle w:val="TableContents"/>
              <w:bidi w:val="0"/>
              <w:spacing w:before="0" w:after="283"/>
              <w:jc w:val="center"/>
              <w:rPr/>
            </w:pPr>
            <w:r>
              <w:rPr/>
              <w:t> </w:t>
            </w:r>
          </w:p>
        </w:tc>
        <w:tc>
          <w:tcPr>
            <w:tcW w:w="613" w:type="dxa"/>
            <w:tcBorders/>
            <w:shd w:fill="CFF0FC" w:val="clear"/>
            <w:vAlign w:val="center"/>
          </w:tcPr>
          <w:p>
            <w:pPr>
              <w:pStyle w:val="TableContents"/>
              <w:bidi w:val="0"/>
              <w:spacing w:before="0" w:after="283"/>
              <w:jc w:val="center"/>
              <w:rPr/>
            </w:pPr>
            <w:r>
              <w:rPr/>
              <w:t> </w:t>
            </w:r>
          </w:p>
        </w:tc>
      </w:tr>
      <w:tr>
        <w:trPr/>
        <w:tc>
          <w:tcPr>
            <w:tcW w:w="6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16,578,659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26,287,293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143,353</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105,821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827,551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17,794,726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27,364,018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429,035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1,411,930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1,959,869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19,595,161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29,752,922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5"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3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900,765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1,790,414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severance expense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416,516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705,894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29,727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5"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3,815,737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3,843,316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34"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long-term portion</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1,264,131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4,555,504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5,107,447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2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34" w:type="dxa"/>
            <w:gridSpan w:val="2"/>
            <w:tcBorders/>
            <w:shd w:fill="CFF0FC" w:val="clear"/>
            <w:vAlign w:val="center"/>
          </w:tcPr>
          <w:p>
            <w:pPr>
              <w:pStyle w:val="TableContents"/>
              <w:bidi w:val="0"/>
              <w:spacing w:before="0" w:after="283"/>
              <w:jc w:val="left"/>
              <w:rPr>
                <w:sz w:val="4"/>
                <w:szCs w:val="4"/>
              </w:rPr>
            </w:pPr>
            <w:r>
              <w:rPr>
                <w:sz w:val="4"/>
                <w:szCs w:val="4"/>
              </w:rPr>
            </w:r>
          </w:p>
        </w:tc>
        <w:tc>
          <w:tcPr>
            <w:tcW w:w="613" w:type="dxa"/>
            <w:tcBorders/>
            <w:shd w:fill="CFF0FC" w:val="clear"/>
            <w:vAlign w:val="center"/>
          </w:tcPr>
          <w:p>
            <w:pPr>
              <w:pStyle w:val="TableContents"/>
              <w:bidi w:val="0"/>
              <w:spacing w:before="0" w:after="283"/>
              <w:jc w:val="right"/>
              <w:rPr/>
            </w:pPr>
            <w:r>
              <w:rPr/>
              <w:t> </w:t>
            </w:r>
          </w:p>
        </w:tc>
      </w:tr>
      <w:tr>
        <w:trPr/>
        <w:tc>
          <w:tcPr>
            <w:tcW w:w="6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no</w:t>
            </w:r>
            <w:r>
              <w:rPr>
                <w:rFonts w:ascii="Times New Roman" w:hAnsi="Times New Roman"/>
                <w:color w:val="000000"/>
                <w:sz w:val="20"/>
              </w:rPr>
              <w:t> </w:t>
            </w:r>
            <w:r>
              <w:rPr>
                <w:rFonts w:ascii="Times New Roman" w:hAnsi="Times New Roman"/>
                <w:b w:val="false"/>
                <w:color w:val="000000"/>
                <w:sz w:val="20"/>
              </w:rPr>
              <w:t>shares issued or outstanding at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$0.00001</w:t>
            </w:r>
            <w:r>
              <w:rPr>
                <w:rFonts w:ascii="Times New Roman" w:hAnsi="Times New Roman"/>
                <w:color w:val="000000"/>
                <w:sz w:val="20"/>
              </w:rPr>
              <w:t> </w:t>
            </w:r>
            <w:r>
              <w:rPr>
                <w:rFonts w:ascii="Times New Roman" w:hAnsi="Times New Roman"/>
                <w:b w:val="false"/>
                <w:color w:val="000000"/>
                <w:sz w:val="20"/>
              </w:rPr>
              <w:t>par value, 200,000,000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5,046,994</w:t>
            </w:r>
            <w:r>
              <w:rPr>
                <w:rFonts w:ascii="Times New Roman" w:hAnsi="Times New Roman"/>
                <w:color w:val="000000"/>
                <w:sz w:val="20"/>
              </w:rPr>
              <w:t> </w:t>
            </w:r>
            <w:r>
              <w:rPr>
                <w:rFonts w:ascii="Times New Roman" w:hAnsi="Times New Roman"/>
                <w:b w:val="false"/>
                <w:color w:val="000000"/>
                <w:sz w:val="20"/>
              </w:rPr>
              <w:t>and 3,947,267</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25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2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392,476,298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2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387,319,985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25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(377,437,566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(362,675,299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25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15,039,657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24,645,475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5"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19,595,161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29,752,922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Energous Corporation</w:t>
      </w:r>
    </w:p>
    <w:p>
      <w:pPr>
        <w:pStyle w:val="TextBody"/>
        <w:bidi w:val="0"/>
        <w:jc w:val="center"/>
        <w:rPr>
          <w:rFonts w:ascii="Times New Roman" w:hAnsi="Times New Roman"/>
          <w:b/>
          <w:color w:val="000000"/>
          <w:sz w:val="20"/>
        </w:rPr>
      </w:pPr>
      <w:bookmarkStart w:id="12" w:name="condensed_statements_operations"/>
      <w:bookmarkEnd w:id="12"/>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2"/>
        <w:gridCol w:w="146"/>
        <w:gridCol w:w="233"/>
        <w:gridCol w:w="1094"/>
        <w:gridCol w:w="182"/>
        <w:gridCol w:w="160"/>
        <w:gridCol w:w="233"/>
        <w:gridCol w:w="1094"/>
        <w:gridCol w:w="166"/>
        <w:gridCol w:w="146"/>
        <w:gridCol w:w="220"/>
        <w:gridCol w:w="1144"/>
        <w:gridCol w:w="173"/>
        <w:gridCol w:w="152"/>
        <w:gridCol w:w="220"/>
        <w:gridCol w:w="1144"/>
        <w:gridCol w:w="596"/>
      </w:tblGrid>
      <w:tr>
        <w:trPr/>
        <w:tc>
          <w:tcPr>
            <w:tcW w:w="3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1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168,708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382,517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672,133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and expenses:</w:t>
            </w:r>
          </w:p>
        </w:tc>
        <w:tc>
          <w:tcPr>
            <w:tcW w:w="14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ind w:left="0" w:right="0" w:firstLine="200"/>
              <w:jc w:val="right"/>
              <w:rPr/>
            </w:pPr>
            <w:r>
              <w:rPr/>
              <w:t> </w:t>
            </w:r>
          </w:p>
        </w:tc>
      </w:tr>
      <w:tr>
        <w:trPr/>
        <w:tc>
          <w:tcPr>
            <w:tcW w:w="310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48,394</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270,025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894,693</w:t>
            </w:r>
          </w:p>
        </w:tc>
        <w:tc>
          <w:tcPr>
            <w:tcW w:w="596" w:type="dxa"/>
            <w:tcBorders/>
            <w:shd w:fill="CFF0FC" w:val="clear"/>
            <w:vAlign w:val="center"/>
          </w:tcPr>
          <w:p>
            <w:pPr>
              <w:pStyle w:val="TableContents"/>
              <w:bidi w:val="0"/>
              <w:spacing w:before="0" w:after="283"/>
              <w:ind w:left="0" w:right="0" w:firstLine="200"/>
              <w:jc w:val="left"/>
              <w:rPr/>
            </w:pPr>
            <w:r>
              <w:rPr/>
              <w:t> </w:t>
            </w:r>
          </w:p>
        </w:tc>
      </w:tr>
      <w:tr>
        <w:trPr/>
        <w:tc>
          <w:tcPr>
            <w:tcW w:w="310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2,460,123</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8,418,779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9,622,886</w:t>
            </w:r>
          </w:p>
        </w:tc>
        <w:tc>
          <w:tcPr>
            <w:tcW w:w="596" w:type="dxa"/>
            <w:tcBorders/>
            <w:shd w:fill="FFFFFF" w:val="clear"/>
            <w:vAlign w:val="center"/>
          </w:tcPr>
          <w:p>
            <w:pPr>
              <w:pStyle w:val="TableContents"/>
              <w:bidi w:val="0"/>
              <w:spacing w:before="0" w:after="283"/>
              <w:ind w:left="0" w:right="0" w:firstLine="200"/>
              <w:jc w:val="left"/>
              <w:rPr/>
            </w:pPr>
            <w:r>
              <w:rPr/>
              <w:t> </w:t>
            </w:r>
          </w:p>
        </w:tc>
      </w:tr>
      <w:tr>
        <w:trPr/>
        <w:tc>
          <w:tcPr>
            <w:tcW w:w="310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774,141</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3,074,163</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3,865,322</w:t>
            </w:r>
          </w:p>
        </w:tc>
        <w:tc>
          <w:tcPr>
            <w:tcW w:w="596" w:type="dxa"/>
            <w:tcBorders/>
            <w:shd w:fill="CFF0FC" w:val="clear"/>
            <w:vAlign w:val="center"/>
          </w:tcPr>
          <w:p>
            <w:pPr>
              <w:pStyle w:val="TableContents"/>
              <w:bidi w:val="0"/>
              <w:spacing w:before="0" w:after="283"/>
              <w:ind w:left="0" w:right="0" w:firstLine="200"/>
              <w:jc w:val="left"/>
              <w:rPr/>
            </w:pPr>
            <w:r>
              <w:rPr/>
              <w:t> </w:t>
            </w:r>
          </w:p>
        </w:tc>
      </w:tr>
      <w:tr>
        <w:trPr/>
        <w:tc>
          <w:tcPr>
            <w:tcW w:w="310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1,698,380</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5,763,811</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5,983,845</w:t>
            </w:r>
          </w:p>
        </w:tc>
        <w:tc>
          <w:tcPr>
            <w:tcW w:w="596" w:type="dxa"/>
            <w:tcBorders/>
            <w:shd w:fill="FFFFFF" w:val="clear"/>
            <w:vAlign w:val="center"/>
          </w:tcPr>
          <w:p>
            <w:pPr>
              <w:pStyle w:val="TableContents"/>
              <w:bidi w:val="0"/>
              <w:spacing w:before="0" w:after="283"/>
              <w:ind w:left="0" w:right="0" w:firstLine="200"/>
              <w:jc w:val="left"/>
              <w:rPr/>
            </w:pPr>
            <w:r>
              <w:rPr/>
              <w:t> </w:t>
            </w:r>
          </w:p>
        </w:tc>
      </w:tr>
      <w:tr>
        <w:trPr/>
        <w:tc>
          <w:tcPr>
            <w:tcW w:w="310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Severance expense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269,109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359,419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633,444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costs and expenses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5,250,147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6,330,916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17,886,197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21,000,190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(5,081,439</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(6,107,715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(17,503,680</w:t>
            </w:r>
          </w:p>
        </w:tc>
        <w:tc>
          <w:tcPr>
            <w:tcW w:w="1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(20,328,057</w:t>
            </w:r>
          </w:p>
        </w:tc>
        <w:tc>
          <w:tcPr>
            <w:tcW w:w="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3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364"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ind w:left="0" w:right="0" w:firstLine="200"/>
              <w:jc w:val="right"/>
              <w:rPr/>
            </w:pPr>
            <w:r>
              <w:rPr/>
              <w:t> </w:t>
            </w:r>
          </w:p>
        </w:tc>
      </w:tr>
      <w:tr>
        <w:trPr/>
        <w:tc>
          <w:tcPr>
            <w:tcW w:w="310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Offering costs related to warrant liability</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color w:val="000000"/>
              </w:rPr>
            </w:pPr>
            <w:r>
              <w:rPr>
                <w:color w:val="000000"/>
              </w:rPr>
              <w:t>–</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(591,670</w:t>
            </w:r>
          </w:p>
        </w:tc>
        <w:tc>
          <w:tcPr>
            <w:tcW w:w="1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44" w:type="dxa"/>
            <w:tcBorders/>
            <w:shd w:fill="CFF0FC" w:val="clear"/>
            <w:vAlign w:val="center"/>
          </w:tcPr>
          <w:p>
            <w:pPr>
              <w:pStyle w:val="TableContents"/>
              <w:bidi w:val="0"/>
              <w:spacing w:before="0" w:after="283"/>
              <w:jc w:val="right"/>
              <w:rPr>
                <w:color w:val="000000"/>
              </w:rPr>
            </w:pPr>
            <w:r>
              <w:rPr>
                <w:color w:val="000000"/>
              </w:rPr>
              <w:t>–</w:t>
            </w:r>
          </w:p>
        </w:tc>
        <w:tc>
          <w:tcPr>
            <w:tcW w:w="596" w:type="dxa"/>
            <w:tcBorders/>
            <w:shd w:fill="CFF0FC" w:val="clear"/>
            <w:vAlign w:val="center"/>
          </w:tcPr>
          <w:p>
            <w:pPr>
              <w:pStyle w:val="TableContents"/>
              <w:bidi w:val="0"/>
              <w:spacing w:before="0" w:after="283"/>
              <w:ind w:left="0" w:right="0" w:firstLine="200"/>
              <w:jc w:val="left"/>
              <w:rPr/>
            </w:pPr>
            <w:r>
              <w:rPr/>
              <w:t> </w:t>
            </w:r>
          </w:p>
        </w:tc>
      </w:tr>
      <w:tr>
        <w:trPr/>
        <w:tc>
          <w:tcPr>
            <w:tcW w:w="310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788,000</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2,685,000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color w:val="000000"/>
              </w:rPr>
            </w:pPr>
            <w:r>
              <w:rPr>
                <w:color w:val="000000"/>
              </w:rPr>
              <w:t>–</w:t>
            </w:r>
          </w:p>
        </w:tc>
        <w:tc>
          <w:tcPr>
            <w:tcW w:w="596" w:type="dxa"/>
            <w:tcBorders/>
            <w:shd w:fill="FFFFFF" w:val="clear"/>
            <w:vAlign w:val="center"/>
          </w:tcPr>
          <w:p>
            <w:pPr>
              <w:pStyle w:val="TableContents"/>
              <w:bidi w:val="0"/>
              <w:spacing w:before="0" w:after="283"/>
              <w:ind w:left="0" w:right="0" w:firstLine="200"/>
              <w:jc w:val="left"/>
              <w:rPr/>
            </w:pPr>
            <w:r>
              <w:rPr/>
              <w:t> </w:t>
            </w:r>
          </w:p>
        </w:tc>
      </w:tr>
      <w:tr>
        <w:trPr/>
        <w:tc>
          <w:tcPr>
            <w:tcW w:w="310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178,845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648,083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966,845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2,741,413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(4,114,594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(5,964,875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(14,762,267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(20,135,342</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and diluted loss per common share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4,762,187</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3,879,804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4,467,436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3,867,330</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Energous Corporation</w:t>
      </w:r>
    </w:p>
    <w:p>
      <w:pPr>
        <w:pStyle w:val="TextBody"/>
        <w:bidi w:val="0"/>
        <w:jc w:val="center"/>
        <w:rPr>
          <w:rFonts w:ascii="Times New Roman" w:hAnsi="Times New Roman"/>
          <w:b/>
          <w:color w:val="000000"/>
          <w:sz w:val="20"/>
        </w:rPr>
      </w:pPr>
      <w:bookmarkStart w:id="13" w:name="condensed_statement_changes_in_stockhold"/>
      <w:bookmarkEnd w:id="13"/>
      <w:r>
        <w:rPr>
          <w:rFonts w:ascii="Times New Roman" w:hAnsi="Times New Roman"/>
          <w:b/>
          <w:color w:val="000000"/>
          <w:sz w:val="20"/>
        </w:rPr>
        <w:t>CONDENSED STATEMENT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81"/>
        <w:gridCol w:w="146"/>
        <w:gridCol w:w="146"/>
        <w:gridCol w:w="826"/>
        <w:gridCol w:w="166"/>
        <w:gridCol w:w="146"/>
        <w:gridCol w:w="236"/>
        <w:gridCol w:w="455"/>
        <w:gridCol w:w="146"/>
        <w:gridCol w:w="146"/>
        <w:gridCol w:w="196"/>
        <w:gridCol w:w="1006"/>
        <w:gridCol w:w="166"/>
        <w:gridCol w:w="146"/>
        <w:gridCol w:w="196"/>
        <w:gridCol w:w="1066"/>
        <w:gridCol w:w="166"/>
        <w:gridCol w:w="146"/>
        <w:gridCol w:w="196"/>
        <w:gridCol w:w="916"/>
        <w:gridCol w:w="2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3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3,947,267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387,319,985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(362,675,299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24,645,475</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21,095</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restricted</w:t>
              <w:br/>
              <w:t>   stock units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476,242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476,242</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employee</w:t>
              <w:br/>
              <w:t>   stock purchase plan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24,740</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65,134</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Issuance of shares in an at-the-market ("ATM") placement, net of $68,637</w:t>
            </w:r>
            <w:r>
              <w:rPr>
                <w:rFonts w:ascii="Times New Roman" w:hAnsi="Times New Roman"/>
                <w:color w:val="000000"/>
                <w:sz w:val="20"/>
              </w:rPr>
              <w:t> </w:t>
            </w:r>
            <w:r>
              <w:rPr>
                <w:rFonts w:ascii="Times New Roman" w:hAnsi="Times New Roman"/>
                <w:b w:val="false"/>
                <w:color w:val="000000"/>
                <w:sz w:val="16"/>
              </w:rPr>
              <w:t>in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2,674,660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2,674,697</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Issuance of shares in a sale of common stock, net of $3,166,139</w:t>
            </w:r>
            <w:r>
              <w:rPr>
                <w:rFonts w:ascii="Times New Roman" w:hAnsi="Times New Roman"/>
                <w:color w:val="000000"/>
                <w:sz w:val="20"/>
              </w:rPr>
              <w:t> </w:t>
            </w:r>
            <w:r>
              <w:rPr>
                <w:rFonts w:ascii="Times New Roman" w:hAnsi="Times New Roman"/>
                <w:b w:val="false"/>
                <w:color w:val="000000"/>
                <w:sz w:val="16"/>
              </w:rPr>
              <w:t>in issuance costs and fair value of liability warrant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133,778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133,861</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(6,652,507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(6,652,507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2023 (unaudited)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390,715,632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(369,327,806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21,388,737</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21,330</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455,695</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Stock-based compensation - performance </w:t>
              <w:br/>
              <w:t>   share units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10,601</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16,267</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1,535</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(3,995,166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(3,995,166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2023 (unaudited)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4,602,041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391,221,050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(373,322,972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17,898,999</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21,564</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341,443</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4,488</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1,412</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3,493</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in lieu of fractional shares from reverse stock split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Issuance of shares in an ATM placement, net of $94,218</w:t>
            </w:r>
            <w:r>
              <w:rPr>
                <w:rFonts w:ascii="Times New Roman" w:hAnsi="Times New Roman"/>
                <w:color w:val="000000"/>
                <w:sz w:val="20"/>
              </w:rPr>
              <w:t> </w:t>
            </w:r>
            <w:r>
              <w:rPr>
                <w:rFonts w:ascii="Times New Roman" w:hAnsi="Times New Roman"/>
                <w:b w:val="false"/>
                <w:color w:val="000000"/>
                <w:sz w:val="16"/>
              </w:rPr>
              <w:t>in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435,561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882,848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882,852</w:t>
            </w:r>
          </w:p>
        </w:tc>
        <w:tc>
          <w:tcPr>
            <w:tcW w:w="2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(4,114,594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(4,114,594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3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2023 (unaudited)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5,046,994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392,476,298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(377,437,566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15,039,657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940" w:type="dxa"/>
        <w:jc w:val="left"/>
        <w:tblInd w:w="0" w:type="dxa"/>
        <w:tblLayout w:type="fixed"/>
        <w:tblCellMar>
          <w:top w:w="28" w:type="dxa"/>
          <w:left w:w="28" w:type="dxa"/>
          <w:bottom w:w="28" w:type="dxa"/>
          <w:right w:w="28" w:type="dxa"/>
        </w:tblCellMar>
      </w:tblPr>
      <w:tblGrid>
        <w:gridCol w:w="3136"/>
        <w:gridCol w:w="146"/>
        <w:gridCol w:w="146"/>
        <w:gridCol w:w="826"/>
        <w:gridCol w:w="146"/>
        <w:gridCol w:w="146"/>
        <w:gridCol w:w="236"/>
        <w:gridCol w:w="455"/>
        <w:gridCol w:w="146"/>
        <w:gridCol w:w="146"/>
        <w:gridCol w:w="196"/>
        <w:gridCol w:w="1006"/>
        <w:gridCol w:w="166"/>
        <w:gridCol w:w="146"/>
        <w:gridCol w:w="196"/>
        <w:gridCol w:w="1066"/>
        <w:gridCol w:w="166"/>
        <w:gridCol w:w="146"/>
        <w:gridCol w:w="196"/>
        <w:gridCol w:w="916"/>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3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3,833,360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383,383,550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(336,400,039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46,984,278</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10,313</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745,620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745,620</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40,973</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104,217</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(7,152,718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(7,152,718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2022 (unaudited)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3,852,756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384,284,669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(343,552,757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40,732,683</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21,330</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601,029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601,029</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41,428</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60,511</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(7,017,749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(7,017,749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2022 (unaudited)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3,873,237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385,008,963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(350,570,506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34,439,232</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21,564</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586,652</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67,922</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22,084</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shares for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contributions to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84,977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84,977</w:t>
            </w:r>
          </w:p>
        </w:tc>
        <w:tc>
          <w:tcPr>
            <w:tcW w:w="21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(5,964,875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(5,964,875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1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2022 (unaudited)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385,792,159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(356,535,381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29,257,556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Energous Corporation</w:t>
      </w:r>
    </w:p>
    <w:p>
      <w:pPr>
        <w:pStyle w:val="TextBody"/>
        <w:bidi w:val="0"/>
        <w:jc w:val="center"/>
        <w:rPr>
          <w:rFonts w:ascii="Times New Roman" w:hAnsi="Times New Roman"/>
          <w:b/>
          <w:color w:val="000000"/>
          <w:sz w:val="20"/>
        </w:rPr>
      </w:pPr>
      <w:bookmarkStart w:id="14" w:name="condensed_statements_cash_flows"/>
      <w:bookmarkEnd w:id="14"/>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22"/>
        <w:gridCol w:w="146"/>
        <w:gridCol w:w="211"/>
        <w:gridCol w:w="1096"/>
        <w:gridCol w:w="166"/>
        <w:gridCol w:w="146"/>
        <w:gridCol w:w="211"/>
        <w:gridCol w:w="1096"/>
        <w:gridCol w:w="811"/>
      </w:tblGrid>
      <w:tr>
        <w:trPr/>
        <w:tc>
          <w:tcPr>
            <w:tcW w:w="6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(14,762,267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(20,135,342</w:t>
            </w:r>
          </w:p>
        </w:tc>
        <w:tc>
          <w:tcPr>
            <w:tcW w:w="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32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600"/>
              <w:jc w:val="right"/>
              <w:rPr/>
            </w:pPr>
            <w:r>
              <w:rPr/>
              <w:t> </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200,995</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2,158,915</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Changes in 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550,372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Inventory net realizable value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Bad debt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(2,685,000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Offering costs allocated to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600"/>
              <w:jc w:val="right"/>
              <w:rPr/>
            </w:pPr>
            <w:r>
              <w:rPr/>
              <w:t> </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(259,881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(164,426</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(68,702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(230,368</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(312,174</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severance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(213,570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(395,405</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(533,685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(594,703</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(15,916,294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(18,838,453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3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(127,198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3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proceeds from an ATM offering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3,557,549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3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proceeds from a sale of common stock and warrant issuance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2,677,191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3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contributions to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249,705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6,304,902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249,705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(9,708,634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(18,715,946</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 - beginning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26,287,293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49,071,414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 - ending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16,578,659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30,355,468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3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Increase in operating lease right-of-use assets and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2,071,336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Common stock issued for RSUs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1 - Business Organization,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near-field wireless charging and at-a-distance wireless charging at various distances. The Company believes its proprietary WattUp technology is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June 14, 2023, at the Company's 2023 annual meeting of stockholders, the Company's stockholders approved a proposal to effect a reverse stock split of the Company's common stock by a ratio not to exceed 1-for-20.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15, 2023, the Company announced that its Board of Directors had determined to set the reverse stock split ratio at 1-for-20</w:t>
      </w:r>
      <w:r>
        <w:rPr>
          <w:rFonts w:ascii="Times New Roman" w:hAnsi="Times New Roman"/>
          <w:color w:val="000000"/>
          <w:sz w:val="20"/>
        </w:rPr>
        <w:t xml:space="preserve"> </w:t>
      </w:r>
      <w:r>
        <w:rPr>
          <w:rFonts w:ascii="Times New Roman" w:hAnsi="Times New Roman"/>
          <w:b w:val="false"/>
          <w:color w:val="000000"/>
          <w:sz w:val="20"/>
        </w:rPr>
        <w:t>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information presented herein, unless otherwise indicated herein, reflects the 1-for-20</w:t>
      </w:r>
      <w:r>
        <w:rPr>
          <w:rFonts w:ascii="Times New Roman" w:hAnsi="Times New Roman"/>
          <w:color w:val="000000"/>
          <w:sz w:val="20"/>
        </w:rPr>
        <w:t xml:space="preserve"> </w:t>
      </w:r>
      <w:r>
        <w:rPr>
          <w:rFonts w:ascii="Times New Roman" w:hAnsi="Times New Roman"/>
          <w:b w:val="false"/>
          <w:color w:val="000000"/>
          <w:sz w:val="20"/>
        </w:rPr>
        <w:t>reverse stock split of the Company’s outstanding shares of common stock, and unless otherwise indicated, all such amounts and corresponding conversion price or exercise price data set forth herein have been adjusted to give effect to such reverse stock split.</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 Liquidity and Management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recorded revenue of $168,708</w:t>
      </w:r>
      <w:r>
        <w:rPr>
          <w:rFonts w:ascii="Times New Roman" w:hAnsi="Times New Roman"/>
          <w:color w:val="000000"/>
          <w:sz w:val="20"/>
        </w:rPr>
        <w:t xml:space="preserve"> </w:t>
      </w:r>
      <w:r>
        <w:rPr>
          <w:rFonts w:ascii="Times New Roman" w:hAnsi="Times New Roman"/>
          <w:b w:val="false"/>
          <w:color w:val="000000"/>
          <w:sz w:val="20"/>
        </w:rPr>
        <w:t>and $382,517, respectively. During the three and nine months ended September 30, 2023, the Company recorded net losses of $4,114,594</w:t>
      </w:r>
      <w:r>
        <w:rPr>
          <w:rFonts w:ascii="Times New Roman" w:hAnsi="Times New Roman"/>
          <w:color w:val="000000"/>
          <w:sz w:val="20"/>
        </w:rPr>
        <w:t xml:space="preserve"> </w:t>
      </w:r>
      <w:r>
        <w:rPr>
          <w:rFonts w:ascii="Times New Roman" w:hAnsi="Times New Roman"/>
          <w:b w:val="false"/>
          <w:color w:val="000000"/>
          <w:sz w:val="20"/>
        </w:rPr>
        <w:t>and $14,762,267, respectively. Net cash used in operating activities was $15,916,294</w:t>
      </w:r>
      <w:r>
        <w:rPr>
          <w:rFonts w:ascii="Times New Roman" w:hAnsi="Times New Roman"/>
          <w:color w:val="000000"/>
          <w:sz w:val="20"/>
        </w:rPr>
        <w:t xml:space="preserve"> </w:t>
      </w:r>
      <w:r>
        <w:rPr>
          <w:rFonts w:ascii="Times New Roman" w:hAnsi="Times New Roman"/>
          <w:b w:val="false"/>
          <w:color w:val="000000"/>
          <w:sz w:val="20"/>
        </w:rPr>
        <w:t>and $18,838,453</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The Company is currently meeting its liquidity requirements through the proceeds of securities offerings that raised net proceeds of $27,043,751</w:t>
      </w:r>
      <w:r>
        <w:rPr>
          <w:rFonts w:ascii="Times New Roman" w:hAnsi="Times New Roman"/>
          <w:color w:val="000000"/>
          <w:sz w:val="20"/>
        </w:rPr>
        <w:t xml:space="preserve"> </w:t>
      </w:r>
      <w:r>
        <w:rPr>
          <w:rFonts w:ascii="Times New Roman" w:hAnsi="Times New Roman"/>
          <w:b w:val="false"/>
          <w:color w:val="000000"/>
          <w:sz w:val="20"/>
        </w:rPr>
        <w:t>during 2021, $744,787</w:t>
      </w:r>
      <w:r>
        <w:rPr>
          <w:rFonts w:ascii="Times New Roman" w:hAnsi="Times New Roman"/>
          <w:color w:val="000000"/>
          <w:sz w:val="20"/>
        </w:rPr>
        <w:t xml:space="preserve"> </w:t>
      </w:r>
      <w:r>
        <w:rPr>
          <w:rFonts w:ascii="Times New Roman" w:hAnsi="Times New Roman"/>
          <w:b w:val="false"/>
          <w:color w:val="000000"/>
          <w:sz w:val="20"/>
        </w:rPr>
        <w:t>during 2022 and $6,234,740</w:t>
      </w:r>
      <w:r>
        <w:rPr>
          <w:rFonts w:ascii="Times New Roman" w:hAnsi="Times New Roman"/>
          <w:color w:val="000000"/>
          <w:sz w:val="20"/>
        </w:rPr>
        <w:t xml:space="preserve"> </w:t>
      </w:r>
      <w:r>
        <w:rPr>
          <w:rFonts w:ascii="Times New Roman" w:hAnsi="Times New Roman"/>
          <w:b w:val="false"/>
          <w:color w:val="000000"/>
          <w:sz w:val="20"/>
        </w:rPr>
        <w:t>during the first three quarters of 2023, along with proceeds from contributions to the Company’s employee stock purchase plan (the “ESPP”) and payments received from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had cash and cash equivalents of $16,578,659. The Company expects that cash and cash equivalents as of September 30, 2023, together with expected additional ATM financing during the fourth quarter of 2023, implementation of cost and expense reductions and anticipated revenues, will be sufficient to fund the Company’s operations through November 2024.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cost and expense reductions in addition to financing, which could include offerings of equity or debt securities, bank financings, commercial agreements with customers or strategic partners, and other alternatives, depending upon market conditions. There is no assurance that such cost and expense reductions and financing will be available on terms that the Company would find acceptable, or at all. If the Company is unsuccessful in implementing this plan, the Company will be required to make further cost and expense reductions or modifications to its on-going and strategic plans.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 – Summary of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unaudited condensed interim financial statements should be read in conjunction with the audited financial statements and notes thereto for the fiscal year ended December 31, 2022 included in the Company's Annual Report on Form 10-K for the fiscal year ended December 31, 2022, filed with the SEC on March 30, 2023. The accounting policies used in preparing these unaudited condensed interim financial statements are consistent with those described in the Company’s December 31, 2022 audited financial statements</w:t>
      </w:r>
      <w:r>
        <w:rPr>
          <w:rFonts w:ascii="Times New Roman" w:hAnsi="Times New Roman"/>
          <w:b w:val="false"/>
          <w:i/>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 – Summary of Significant Accounting Policies,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Level 1: Observable inputs such as quoted prices in active markets for identical assets or liabilities to which the Company has access at a measurement date.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Level 3: Unobservable inputs for which little or no market data exists and for which the Company must develop its own assumptions regarding the assumptions that market participants would use in pricing the asset or liability, including assumptions regarding risk.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The carrying amounts of the Company’s financial assets and liabilities, such as cash, cash equivalents, prepaid expenses, other current assets, and accounts payable &amp; accrued expenses, are an approximate of their fair values because of the short maturity of these instruments. The Company’s derivative liabilities recognized at fair value on a recurring basis are a level 3 measurement (see Note 8 – Fair Value Measurement).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follows Accounting Standards Codification (“ASC”) 606, "Revenue from Contracts with Customers" (“Topic 606”).</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accordance with Topic 606, the Company recognizes revenue using the following five-step approach:</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Identify the contract with a customer.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 the performance obligations in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Determine the transaction price of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Allocate the transaction price to the performance obligations in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Recognize revenue when or as the performance obligations are satisfied.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Company’s revenue consists of its single segment of wireless charging system solutions. The wireless charging system revenue consists of revenue from product development projects and production-level systems. During the three and nine months ended September 30, 2023, the Company recognized $168,708</w:t>
      </w:r>
      <w:r>
        <w:rPr>
          <w:rFonts w:ascii="Times New Roman" w:hAnsi="Times New Roman"/>
          <w:color w:val="000000"/>
          <w:sz w:val="20"/>
        </w:rPr>
        <w:t xml:space="preserve"> </w:t>
      </w:r>
      <w:r>
        <w:rPr>
          <w:rFonts w:ascii="Times New Roman" w:hAnsi="Times New Roman"/>
          <w:b w:val="false"/>
          <w:color w:val="000000"/>
          <w:sz w:val="20"/>
        </w:rPr>
        <w:t>and $382,517, respectively, in revenue. During the three and nine months ended September 30, 2022, the Company recognized $223,201</w:t>
      </w:r>
      <w:r>
        <w:rPr>
          <w:rFonts w:ascii="Times New Roman" w:hAnsi="Times New Roman"/>
          <w:color w:val="000000"/>
          <w:sz w:val="20"/>
        </w:rPr>
        <w:t xml:space="preserve"> </w:t>
      </w:r>
      <w:r>
        <w:rPr>
          <w:rFonts w:ascii="Times New Roman" w:hAnsi="Times New Roman"/>
          <w:b w:val="false"/>
          <w:color w:val="000000"/>
          <w:sz w:val="20"/>
        </w:rPr>
        <w:t>and $672,133, respectively, in revenue.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Summary of Significant Accounting Policies, continued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The Company follows ASC 330, </w:t>
      </w:r>
      <w:r>
        <w:rPr>
          <w:rFonts w:ascii="Times New Roman" w:hAnsi="Times New Roman"/>
          <w:b w:val="false"/>
          <w:i/>
          <w:color w:val="000000"/>
          <w:sz w:val="20"/>
        </w:rPr>
        <w:t>Inventory</w:t>
      </w:r>
      <w:r>
        <w:rPr>
          <w:rFonts w:ascii="Times New Roman" w:hAnsi="Times New Roman"/>
          <w:color w:val="000000"/>
          <w:sz w:val="20"/>
        </w:rPr>
        <w:t xml:space="preserve"> </w:t>
      </w:r>
      <w:r>
        <w:rPr>
          <w:rFonts w:ascii="Times New Roman" w:hAnsi="Times New Roman"/>
          <w:b w:val="false"/>
          <w:color w:val="000000"/>
          <w:sz w:val="20"/>
        </w:rPr>
        <w:t>(“Topic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$2,460,123</w:t>
      </w:r>
      <w:r>
        <w:rPr>
          <w:rFonts w:ascii="Times New Roman" w:hAnsi="Times New Roman"/>
          <w:color w:val="000000"/>
          <w:sz w:val="20"/>
        </w:rPr>
        <w:t xml:space="preserve"> </w:t>
      </w:r>
      <w:r>
        <w:rPr>
          <w:rFonts w:ascii="Times New Roman" w:hAnsi="Times New Roman"/>
          <w:b w:val="false"/>
          <w:color w:val="000000"/>
          <w:sz w:val="20"/>
        </w:rPr>
        <w:t>and $8,418,779</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respectively. The Company incurred research and development costs of $2,885,830</w:t>
      </w:r>
      <w:r>
        <w:rPr>
          <w:rFonts w:ascii="Times New Roman" w:hAnsi="Times New Roman"/>
          <w:color w:val="000000"/>
          <w:sz w:val="20"/>
        </w:rPr>
        <w:t xml:space="preserve"> </w:t>
      </w:r>
      <w:r>
        <w:rPr>
          <w:rFonts w:ascii="Times New Roman" w:hAnsi="Times New Roman"/>
          <w:b w:val="false"/>
          <w:color w:val="000000"/>
          <w:sz w:val="20"/>
        </w:rPr>
        <w:t>and $9,622,886</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September 30, 2023, no</w:t>
      </w:r>
      <w:r>
        <w:rPr>
          <w:rFonts w:ascii="Times New Roman" w:hAnsi="Times New Roman"/>
          <w:color w:val="000000"/>
          <w:sz w:val="20"/>
        </w:rPr>
        <w:t xml:space="preserve"> </w:t>
      </w:r>
      <w:r>
        <w:rPr>
          <w:rFonts w:ascii="Times New Roman" w:hAnsi="Times New Roman"/>
          <w:b w:val="false"/>
          <w:color w:val="000000"/>
          <w:sz w:val="20"/>
        </w:rPr>
        <w:t xml:space="preserve">liability for unrecognized tax benefits was required to be reported. The guidance from ASC 740,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also discusses the classification of related interest and penalties on income taxes. The Company’s policy is to record interest and penalties on uncertain tax positions as a component of income tax expense. No</w:t>
      </w:r>
      <w:r>
        <w:rPr>
          <w:rFonts w:ascii="Times New Roman" w:hAnsi="Times New Roman"/>
          <w:color w:val="000000"/>
          <w:sz w:val="20"/>
        </w:rPr>
        <w:t xml:space="preserve"> </w:t>
      </w:r>
      <w:r>
        <w:rPr>
          <w:rFonts w:ascii="Times New Roman" w:hAnsi="Times New Roman"/>
          <w:b w:val="false"/>
          <w:color w:val="000000"/>
          <w:sz w:val="20"/>
        </w:rPr>
        <w:t>interest or penalties were recorded during the three or nine months ended September 30, 2023 and 2022. The Company files income tax returns with the United States and California governments.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Accounting for Reverse Stock Split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three months ended September 30, 2023, the Company effected a reverse stock split of its common stock at a ratio of 1-for-20</w:t>
      </w:r>
      <w:r>
        <w:rPr>
          <w:rFonts w:ascii="Times New Roman" w:hAnsi="Times New Roman"/>
          <w:color w:val="000000"/>
          <w:sz w:val="20"/>
        </w:rPr>
        <w:t xml:space="preserve"> </w:t>
      </w:r>
      <w:r>
        <w:rPr>
          <w:rFonts w:ascii="Times New Roman" w:hAnsi="Times New Roman"/>
          <w:b w:val="false"/>
          <w:color w:val="000000"/>
          <w:sz w:val="20"/>
        </w:rPr>
        <w:t>(See Note 1 - Business Organization, Nature of Operations, Reverse Stock Split). On August 15, 2023, the Company had 92,069,632</w:t>
      </w:r>
      <w:r>
        <w:rPr>
          <w:rFonts w:ascii="Times New Roman" w:hAnsi="Times New Roman"/>
          <w:color w:val="000000"/>
          <w:sz w:val="20"/>
        </w:rPr>
        <w:t xml:space="preserve"> </w:t>
      </w:r>
      <w:r>
        <w:rPr>
          <w:rFonts w:ascii="Times New Roman" w:hAnsi="Times New Roman"/>
          <w:b w:val="false"/>
          <w:color w:val="000000"/>
          <w:sz w:val="20"/>
        </w:rPr>
        <w:t>shares of common stock issued and outstanding prior to the reverse stock split taking effect. On August 16, 2023, the Company had 4,601,654</w:t>
      </w:r>
      <w:r>
        <w:rPr>
          <w:rFonts w:ascii="Times New Roman" w:hAnsi="Times New Roman"/>
          <w:color w:val="000000"/>
          <w:sz w:val="20"/>
        </w:rPr>
        <w:t xml:space="preserve"> </w:t>
      </w:r>
      <w:r>
        <w:rPr>
          <w:rFonts w:ascii="Times New Roman" w:hAnsi="Times New Roman"/>
          <w:b w:val="false"/>
          <w:color w:val="000000"/>
          <w:sz w:val="20"/>
        </w:rPr>
        <w:t>shares of outstanding common stock after the reverse stock split became effective. No fractional shares were issued in connection with the reverse stock split, and stockholders of record who would have otherwise been entitled to receive a fractional share received a cash payment in lieu thereof. The Company paid approximately $6,250</w:t>
      </w:r>
      <w:r>
        <w:rPr>
          <w:rFonts w:ascii="Times New Roman" w:hAnsi="Times New Roman"/>
          <w:color w:val="000000"/>
          <w:sz w:val="20"/>
        </w:rPr>
        <w:t xml:space="preserve"> </w:t>
      </w:r>
      <w:r>
        <w:rPr>
          <w:rFonts w:ascii="Times New Roman" w:hAnsi="Times New Roman"/>
          <w:b w:val="false"/>
          <w:color w:val="000000"/>
          <w:sz w:val="20"/>
        </w:rPr>
        <w:t>for cash in lieu of fractional shares. The par value of the Company's common stock did not change and no adjustments to historical par value were made. All information presented in the accompanying financial statements, unless otherwise indicated herein, reflects the 1-for-20</w:t>
      </w:r>
      <w:r>
        <w:rPr>
          <w:rFonts w:ascii="Times New Roman" w:hAnsi="Times New Roman"/>
          <w:color w:val="000000"/>
          <w:sz w:val="20"/>
        </w:rPr>
        <w:t xml:space="preserve"> </w:t>
      </w:r>
      <w:r>
        <w:rPr>
          <w:rFonts w:ascii="Times New Roman" w:hAnsi="Times New Roman"/>
          <w:b w:val="false"/>
          <w:color w:val="000000"/>
          <w:sz w:val="20"/>
        </w:rPr>
        <w:t>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3 – Summary of Significant Accounting Policies,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Loss Per Common Share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597,020</w:t>
      </w:r>
      <w:r>
        <w:rPr>
          <w:rFonts w:ascii="Times New Roman" w:hAnsi="Times New Roman"/>
          <w:color w:val="000000"/>
          <w:sz w:val="20"/>
        </w:rPr>
        <w:t xml:space="preserve"> </w:t>
      </w:r>
      <w:r>
        <w:rPr>
          <w:rFonts w:ascii="Times New Roman" w:hAnsi="Times New Roman"/>
          <w:b w:val="false"/>
          <w:color w:val="000000"/>
          <w:sz w:val="20"/>
        </w:rPr>
        <w:t>for both the three and nine months ended September 30, 2023 and 312,319</w:t>
      </w:r>
      <w:r>
        <w:rPr>
          <w:rFonts w:ascii="Times New Roman" w:hAnsi="Times New Roman"/>
          <w:color w:val="000000"/>
          <w:sz w:val="20"/>
        </w:rPr>
        <w:t xml:space="preserve"> </w:t>
      </w:r>
      <w:r>
        <w:rPr>
          <w:rFonts w:ascii="Times New Roman" w:hAnsi="Times New Roman"/>
          <w:b w:val="false"/>
          <w:color w:val="000000"/>
          <w:sz w:val="20"/>
        </w:rPr>
        <w:t>for both the three and nine months ended September 30, 2022, as outlined in the table below, because their inclusion would be anti-dilutive.</w:t>
      </w:r>
    </w:p>
    <w:p>
      <w:pPr>
        <w:pStyle w:val="TextBody"/>
        <w:bidi w:val="0"/>
        <w:jc w:val="left"/>
        <w:rPr/>
      </w:pPr>
      <w:r>
        <w:rPr/>
        <w:t> </w:t>
      </w:r>
    </w:p>
    <w:tbl>
      <w:tblPr>
        <w:tblW w:w="8322" w:type="dxa"/>
        <w:jc w:val="left"/>
        <w:tblInd w:w="0" w:type="dxa"/>
        <w:tblLayout w:type="fixed"/>
        <w:tblCellMar>
          <w:top w:w="28" w:type="dxa"/>
          <w:left w:w="28" w:type="dxa"/>
          <w:bottom w:w="28" w:type="dxa"/>
          <w:right w:w="28" w:type="dxa"/>
        </w:tblCellMar>
      </w:tblPr>
      <w:tblGrid>
        <w:gridCol w:w="3201"/>
        <w:gridCol w:w="146"/>
        <w:gridCol w:w="146"/>
        <w:gridCol w:w="781"/>
        <w:gridCol w:w="146"/>
        <w:gridCol w:w="146"/>
        <w:gridCol w:w="146"/>
        <w:gridCol w:w="781"/>
        <w:gridCol w:w="146"/>
        <w:gridCol w:w="146"/>
        <w:gridCol w:w="146"/>
        <w:gridCol w:w="781"/>
        <w:gridCol w:w="146"/>
        <w:gridCol w:w="146"/>
        <w:gridCol w:w="146"/>
        <w:gridCol w:w="78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issued to investors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164,239</w:t>
            </w:r>
          </w:p>
        </w:tc>
        <w:tc>
          <w:tcPr>
            <w:tcW w:w="391" w:type="dxa"/>
            <w:tcBorders/>
            <w:shd w:fill="CFF0FC"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15,013</w:t>
            </w:r>
          </w:p>
        </w:tc>
        <w:tc>
          <w:tcPr>
            <w:tcW w:w="391" w:type="dxa"/>
            <w:tcBorders/>
            <w:shd w:fill="FFFFFF" w:val="cle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123,717</w:t>
            </w:r>
          </w:p>
        </w:tc>
        <w:tc>
          <w:tcPr>
            <w:tcW w:w="391" w:type="dxa"/>
            <w:tcBorders/>
            <w:shd w:fill="CFF0FC"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potentially dilutive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table above includes 83,333</w:t>
      </w:r>
      <w:r>
        <w:rPr>
          <w:rFonts w:ascii="Times New Roman" w:hAnsi="Times New Roman"/>
          <w:color w:val="000000"/>
          <w:sz w:val="20"/>
        </w:rPr>
        <w:t xml:space="preserve"> </w:t>
      </w:r>
      <w:r>
        <w:rPr>
          <w:rFonts w:ascii="Times New Roman" w:hAnsi="Times New Roman"/>
          <w:b w:val="false"/>
          <w:color w:val="000000"/>
          <w:sz w:val="20"/>
        </w:rPr>
        <w:t>warrants expiring on March 1, 2024, which have an exercise price of $200.00</w:t>
      </w:r>
      <w:r>
        <w:rPr>
          <w:rFonts w:ascii="Times New Roman" w:hAnsi="Times New Roman"/>
          <w:color w:val="000000"/>
          <w:sz w:val="20"/>
        </w:rPr>
        <w:t xml:space="preserve"> </w:t>
      </w:r>
      <w:r>
        <w:rPr>
          <w:rFonts w:ascii="Times New Roman" w:hAnsi="Times New Roman"/>
          <w:b w:val="false"/>
          <w:color w:val="000000"/>
          <w:sz w:val="20"/>
        </w:rPr>
        <w:t>and 412,500</w:t>
      </w:r>
      <w:r>
        <w:rPr>
          <w:rFonts w:ascii="Times New Roman" w:hAnsi="Times New Roman"/>
          <w:color w:val="000000"/>
          <w:sz w:val="20"/>
        </w:rPr>
        <w:t xml:space="preserve"> </w:t>
      </w:r>
      <w:r>
        <w:rPr>
          <w:rFonts w:ascii="Times New Roman" w:hAnsi="Times New Roman"/>
          <w:b w:val="false"/>
          <w:color w:val="000000"/>
          <w:sz w:val="20"/>
        </w:rPr>
        <w:t>warrants expiring on March 28, 2029, which have an exercise price of $1.66.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Times New Roman" w:hAnsi="Times New Roman"/>
          <w:b w:val="false"/>
          <w:i/>
          <w:color w:val="000000"/>
          <w:sz w:val="20"/>
        </w:rPr>
        <w:t>Operating Leases</w:t>
      </w:r>
      <w:r>
        <w:rPr>
          <w:rFonts w:ascii="Times New Roman" w:hAnsi="Times New Roman"/>
          <w:color w:val="000000"/>
          <w:sz w:val="20"/>
        </w:rPr>
        <w:t xml:space="preserve"> </w:t>
      </w:r>
      <w:r>
        <w:rPr>
          <w:rFonts w:ascii="Times New Roman" w:hAnsi="Times New Roman"/>
          <w:b w:val="false"/>
          <w:color w:val="000000"/>
          <w:sz w:val="20"/>
        </w:rPr>
        <w:t>for further discussion of the Company’s operating leases.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Management’s Evaluation of Subsequent Events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evaluates events that have occurred after the balance sheet date of September 30, 2023, through the date which the financial statements are available to be issued.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Note 4 –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San Jose Lease</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$2,071,336</w:t>
      </w:r>
      <w:r>
        <w:rPr>
          <w:rFonts w:ascii="Times New Roman" w:hAnsi="Times New Roman"/>
          <w:color w:val="000000"/>
          <w:sz w:val="20"/>
        </w:rPr>
        <w:t xml:space="preserve"> </w:t>
      </w:r>
      <w:r>
        <w:rPr>
          <w:rFonts w:ascii="Times New Roman" w:hAnsi="Times New Roman"/>
          <w:b w:val="false"/>
          <w:color w:val="000000"/>
          <w:sz w:val="20"/>
        </w:rPr>
        <w:t>and operating lease liability of $2,071,336, using a present value discount rate of 3.0%. Upon expiration of the original lease on September 30, 2022, the new monthly lease payment starting October 1, 2022 is $58,903, subject to annual escalations up to a maximum monthly lease payment of $62,490.</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 Commitments and Contingencies, continued</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Costa Mesa 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September 22, 2021, the Company signed a new lease for office space for its engineers based in Costa Mesa, California. Per the lease, the lease commencement date was October 1, 2021 and the expiration date was September 30, 2023. The Company did not have control of the new office space until October 2021, at which time the Company recorded a new ROU lease asset of $104,563</w:t>
      </w:r>
      <w:r>
        <w:rPr>
          <w:rFonts w:ascii="Times New Roman" w:hAnsi="Times New Roman"/>
          <w:color w:val="000000"/>
          <w:sz w:val="20"/>
        </w:rPr>
        <w:t xml:space="preserve"> </w:t>
      </w:r>
      <w:r>
        <w:rPr>
          <w:rFonts w:ascii="Times New Roman" w:hAnsi="Times New Roman"/>
          <w:b w:val="false"/>
          <w:color w:val="000000"/>
          <w:sz w:val="20"/>
        </w:rPr>
        <w:t>and operating lease liability of $104,563. The new Costa Mesa lease had an initial monthly lease payment of $4,369</w:t>
      </w:r>
      <w:r>
        <w:rPr>
          <w:rFonts w:ascii="Times New Roman" w:hAnsi="Times New Roman"/>
          <w:color w:val="000000"/>
          <w:sz w:val="20"/>
        </w:rPr>
        <w:t xml:space="preserve"> </w:t>
      </w:r>
      <w:r>
        <w:rPr>
          <w:rFonts w:ascii="Times New Roman" w:hAnsi="Times New Roman"/>
          <w:b w:val="false"/>
          <w:color w:val="000000"/>
          <w:sz w:val="20"/>
        </w:rPr>
        <w:t>starting October 1, 2021 and was subject to an annual escalation up to a maximum monthly lease payment of $4,522. The lease expired on September 30, 2023 and was not renewed.</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Operating Lease Commitments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The Company follows ASC 842, </w:t>
      </w:r>
      <w:r>
        <w:rPr>
          <w:rFonts w:ascii="Times New Roman" w:hAnsi="Times New Roman"/>
          <w:b w:val="false"/>
          <w:i/>
          <w:color w:val="000000"/>
          <w:sz w:val="20"/>
        </w:rPr>
        <w:t>Leases,</w:t>
      </w:r>
      <w:r>
        <w:rPr>
          <w:rFonts w:ascii="Times New Roman" w:hAnsi="Times New Roman"/>
          <w:color w:val="000000"/>
          <w:sz w:val="20"/>
        </w:rPr>
        <w:t xml:space="preserve"> </w:t>
      </w:r>
      <w:r>
        <w:rPr>
          <w:rFonts w:ascii="Times New Roman" w:hAnsi="Times New Roman"/>
          <w:b w:val="false"/>
          <w:color w:val="000000"/>
          <w:sz w:val="20"/>
        </w:rPr>
        <w:t>(“Topic 842”) and recognizes the required ROU assets and operating lease liabilities on its balance sheet. The Company anticipates having future total lease payments of $1,477,914</w:t>
      </w:r>
      <w:r>
        <w:rPr>
          <w:rFonts w:ascii="Times New Roman" w:hAnsi="Times New Roman"/>
          <w:color w:val="000000"/>
          <w:sz w:val="20"/>
        </w:rPr>
        <w:t xml:space="preserve"> </w:t>
      </w:r>
      <w:r>
        <w:rPr>
          <w:rFonts w:ascii="Times New Roman" w:hAnsi="Times New Roman"/>
          <w:b w:val="false"/>
          <w:color w:val="000000"/>
          <w:sz w:val="20"/>
        </w:rPr>
        <w:t>during the period from the fourth quarter of 2023 to the third quarter of 2025. As of September 30, 2023, the Company has total operating lease ROU assets of $1,411,930, current portion of operating lease liabilities of $696,573</w:t>
      </w:r>
      <w:r>
        <w:rPr>
          <w:rFonts w:ascii="Times New Roman" w:hAnsi="Times New Roman"/>
          <w:color w:val="000000"/>
          <w:sz w:val="20"/>
        </w:rPr>
        <w:t xml:space="preserve"> </w:t>
      </w:r>
      <w:r>
        <w:rPr>
          <w:rFonts w:ascii="Times New Roman" w:hAnsi="Times New Roman"/>
          <w:b w:val="false"/>
          <w:color w:val="000000"/>
          <w:sz w:val="20"/>
        </w:rPr>
        <w:t>and long-term portion of operating lease liabilities of $739,767. The weighted average remaining lease term is 2.0</w:t>
      </w:r>
      <w:r>
        <w:rPr>
          <w:rFonts w:ascii="Times New Roman" w:hAnsi="Times New Roman"/>
          <w:color w:val="000000"/>
          <w:sz w:val="20"/>
        </w:rPr>
        <w:t xml:space="preserve"> </w:t>
      </w:r>
      <w:r>
        <w:rPr>
          <w:rFonts w:ascii="Times New Roman" w:hAnsi="Times New Roman"/>
          <w:b w:val="false"/>
          <w:color w:val="000000"/>
          <w:sz w:val="20"/>
        </w:rPr>
        <w:t>years as of September 30,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reconciliation of undiscounted cash flows to lease liabilities recognized as of September 30, 2023 is as follows:</w:t>
      </w:r>
    </w:p>
    <w:tbl>
      <w:tblPr>
        <w:tblW w:w="5505" w:type="dxa"/>
        <w:jc w:val="left"/>
        <w:tblInd w:w="0" w:type="dxa"/>
        <w:tblLayout w:type="fixed"/>
        <w:tblCellMar>
          <w:top w:w="28" w:type="dxa"/>
          <w:left w:w="28" w:type="dxa"/>
          <w:bottom w:w="28" w:type="dxa"/>
          <w:right w:w="28" w:type="dxa"/>
        </w:tblCellMar>
      </w:tblPr>
      <w:tblGrid>
        <w:gridCol w:w="4006"/>
        <w:gridCol w:w="146"/>
        <w:gridCol w:w="211"/>
        <w:gridCol w:w="93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182,009</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733,497</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562,408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1,477,914</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Present value discount (3.0% weighted average)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1,436,340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22222"/>
          <w:sz w:val="20"/>
        </w:rPr>
        <w:t>Hosted</w:t>
      </w:r>
      <w:r>
        <w:rPr>
          <w:rFonts w:ascii="Times New Roman" w:hAnsi="Times New Roman"/>
          <w:color w:val="000000"/>
          <w:sz w:val="20"/>
        </w:rPr>
        <w:t xml:space="preserve"> </w:t>
      </w:r>
      <w:r>
        <w:rPr>
          <w:rFonts w:ascii="Times New Roman" w:hAnsi="Times New Roman"/>
          <w:b/>
          <w:i/>
          <w:color w:val="222222"/>
          <w:sz w:val="20"/>
        </w:rPr>
        <w:t>Design Software Agreement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June 2021, the Company entered into an electronic design automation software in a hosted environment license agreement with a term of</w:t>
      </w:r>
      <w:r>
        <w:rPr>
          <w:rFonts w:ascii="Times New Roman" w:hAnsi="Times New Roman"/>
          <w:color w:val="222222"/>
          <w:sz w:val="20"/>
        </w:rPr>
        <w:t xml:space="preserve"> </w:t>
      </w:r>
      <w:r>
        <w:rPr>
          <w:rFonts w:ascii="Times New Roman" w:hAnsi="Times New Roman"/>
          <w:b w:val="false"/>
          <w:color w:val="222222"/>
          <w:sz w:val="20"/>
        </w:rPr>
        <w:t>three-years</w:t>
      </w:r>
      <w:r>
        <w:rPr>
          <w:rFonts w:ascii="Times New Roman" w:hAnsi="Times New Roman"/>
          <w:color w:val="222222"/>
          <w:sz w:val="20"/>
        </w:rPr>
        <w:t xml:space="preserve"> </w:t>
      </w:r>
      <w:r>
        <w:rPr>
          <w:rFonts w:ascii="Times New Roman" w:hAnsi="Times New Roman"/>
          <w:b w:val="false"/>
          <w:color w:val="000000"/>
          <w:sz w:val="20"/>
        </w:rPr>
        <w:t>under which the Company is required to remit quarterly payments of approximately</w:t>
      </w:r>
      <w:r>
        <w:rPr>
          <w:rFonts w:ascii="Times New Roman" w:hAnsi="Times New Roman"/>
          <w:color w:val="222222"/>
          <w:sz w:val="20"/>
        </w:rPr>
        <w:t xml:space="preserve"> </w:t>
      </w:r>
      <w:r>
        <w:rPr>
          <w:rFonts w:ascii="Times New Roman" w:hAnsi="Times New Roman"/>
          <w:b w:val="false"/>
          <w:color w:val="222222"/>
          <w:sz w:val="20"/>
        </w:rPr>
        <w:t>$233,000</w:t>
      </w:r>
      <w:r>
        <w:rPr>
          <w:rFonts w:ascii="Times New Roman" w:hAnsi="Times New Roman"/>
          <w:color w:val="222222"/>
          <w:sz w:val="20"/>
        </w:rPr>
        <w:t xml:space="preserve"> </w:t>
      </w:r>
      <w:r>
        <w:rPr>
          <w:rFonts w:ascii="Times New Roman" w:hAnsi="Times New Roman"/>
          <w:b w:val="false"/>
          <w:color w:val="222222"/>
          <w:sz w:val="20"/>
        </w:rPr>
        <w:t>through the second quarter of 2024.</w:t>
      </w:r>
      <w:r>
        <w:rPr>
          <w:rFonts w:ascii="Times New Roman" w:hAnsi="Times New Roman"/>
          <w:color w:val="222222"/>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Litigations, Claims, and Assessments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MBO Bonus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recorded $146,758</w:t>
      </w:r>
      <w:r>
        <w:rPr>
          <w:rFonts w:ascii="Times New Roman" w:hAnsi="Times New Roman"/>
          <w:color w:val="000000"/>
          <w:sz w:val="20"/>
        </w:rPr>
        <w:t xml:space="preserve"> </w:t>
      </w:r>
      <w:r>
        <w:rPr>
          <w:rFonts w:ascii="Times New Roman" w:hAnsi="Times New Roman"/>
          <w:b w:val="false"/>
          <w:color w:val="000000"/>
          <w:sz w:val="20"/>
        </w:rPr>
        <w:t>and $445,394</w:t>
      </w:r>
      <w:r>
        <w:rPr>
          <w:rFonts w:ascii="Times New Roman" w:hAnsi="Times New Roman"/>
          <w:color w:val="000000"/>
          <w:sz w:val="20"/>
        </w:rPr>
        <w:t xml:space="preserve"> </w:t>
      </w:r>
      <w:r>
        <w:rPr>
          <w:rFonts w:ascii="Times New Roman" w:hAnsi="Times New Roman"/>
          <w:b w:val="false"/>
          <w:color w:val="000000"/>
          <w:sz w:val="20"/>
        </w:rPr>
        <w:t>in expense, respectively, under the Bonus Plan. As of September 30, 2023, the Company had an unpaid total of $187,798</w:t>
      </w:r>
      <w:r>
        <w:rPr>
          <w:rFonts w:ascii="Times New Roman" w:hAnsi="Times New Roman"/>
          <w:color w:val="000000"/>
          <w:sz w:val="20"/>
        </w:rPr>
        <w:t xml:space="preserve"> </w:t>
      </w:r>
      <w:r>
        <w:rPr>
          <w:rFonts w:ascii="Times New Roman" w:hAnsi="Times New Roman"/>
          <w:b w:val="false"/>
          <w:color w:val="000000"/>
          <w:sz w:val="20"/>
        </w:rPr>
        <w:t>under the Bonus Plan which is expected to be paid during the first quarter of 2024.</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Commitments and Contingencies,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Severance and Change in Control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15, 2018, the Compensation Committee approved a form of Severance and Change in Control Agreement (“Severance</w:t>
      </w:r>
      <w:r>
        <w:rPr>
          <w:rFonts w:ascii="Times New Roman" w:hAnsi="Times New Roman"/>
          <w:color w:val="000000"/>
          <w:sz w:val="20"/>
        </w:rPr>
        <w:t xml:space="preserve"> </w:t>
      </w:r>
      <w:r>
        <w:rPr>
          <w:rFonts w:ascii="Times New Roman" w:hAnsi="Times New Roman"/>
          <w:b w:val="false"/>
          <w:color w:val="000000"/>
          <w:sz w:val="20"/>
        </w:rPr>
        <w:t>Agreement”) that the Company may enter into with executive officers (each, an “Executive”).</w:t>
      </w:r>
      <w:r>
        <w:rPr>
          <w:rFonts w:ascii="Times New Roman" w:hAnsi="Times New Roman"/>
          <w:color w:val="000000"/>
          <w:sz w:val="20"/>
        </w:rPr>
        <w:t xml:space="preserve"> </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Under the Severance Agreement, if an Executive is terminated in a qualifying change in control termination, the Company agrees to pay the Executive six to 12 months of that Executive’s monthly base salary. If an Executive elects continued coverage under the Consolidated Omnibus Budget Reconciliation Act of 1985, as amended (“COBRA”) the Company agrees to pay the full amount of the Executive’s premiums under the Company’s health, dental and vision plans, including coverage for the Executive’s eligible dependents, for the six to 12 month period following the Executive’s termination.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Employee Agreement – Cesar Johnston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December 9, 2021, the Company announced that Cesar Johnston had been appointed as the Company’s Chief Executive Officer. In connection with Mr. Johnston’s appointment as Chief Executive Officer, the Company and Mr. Johnston executed an offer letter dated as of December 6, 2021.</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Under the terms of his offer letter, Mr. Johnston will receive an annual base salary of $400,000</w:t>
      </w:r>
      <w:r>
        <w:rPr>
          <w:rFonts w:ascii="Times New Roman" w:hAnsi="Times New Roman"/>
          <w:color w:val="000000"/>
          <w:sz w:val="20"/>
        </w:rPr>
        <w:t xml:space="preserve"> </w:t>
      </w:r>
      <w:r>
        <w:rPr>
          <w:rFonts w:ascii="Times New Roman" w:hAnsi="Times New Roman"/>
          <w:b w:val="false"/>
          <w:color w:val="000000"/>
          <w:sz w:val="20"/>
        </w:rPr>
        <w:t>per year. Beginning in 2022, he is eligible to receive a discretionary annual bonus of up to 100% of his base salary, at the recommendation of the Compensation Committee, with the approval of the Board. In addition, as an inducement to accept his appointment as Chief Executive Officer, Mr. Johnston received, subject to continued employment, (a) a special one-time sign-on bonus in the amount of $120,000, payable in two</w:t>
      </w:r>
      <w:r>
        <w:rPr>
          <w:rFonts w:ascii="Times New Roman" w:hAnsi="Times New Roman"/>
          <w:color w:val="000000"/>
          <w:sz w:val="20"/>
        </w:rPr>
        <w:t xml:space="preserve"> </w:t>
      </w:r>
      <w:r>
        <w:rPr>
          <w:rFonts w:ascii="Times New Roman" w:hAnsi="Times New Roman"/>
          <w:b w:val="false"/>
          <w:color w:val="000000"/>
          <w:sz w:val="20"/>
        </w:rPr>
        <w:t>equal installments of $60,000</w:t>
      </w:r>
      <w:r>
        <w:rPr>
          <w:rFonts w:ascii="Times New Roman" w:hAnsi="Times New Roman"/>
          <w:color w:val="000000"/>
          <w:sz w:val="20"/>
        </w:rPr>
        <w:t xml:space="preserve"> </w:t>
      </w:r>
      <w:r>
        <w:rPr>
          <w:rFonts w:ascii="Times New Roman" w:hAnsi="Times New Roman"/>
          <w:b w:val="false"/>
          <w:color w:val="000000"/>
          <w:sz w:val="20"/>
        </w:rPr>
        <w:t>each on the first payroll date in 2022 and the first payroll date after December 6, 2022, (b) a grant of 7,500 RSUs to acquire shares of the Company’s common stock, one third of which vested on December 6, 2022 and the remaining two thirds of which vest in eight equal installments of 625 each on each quarterly anniversary thereafter</w:t>
      </w:r>
      <w:r>
        <w:rPr>
          <w:rFonts w:ascii="Times New Roman" w:hAnsi="Times New Roman"/>
          <w:color w:val="000000"/>
          <w:sz w:val="20"/>
        </w:rPr>
        <w:t xml:space="preserve"> </w:t>
      </w:r>
      <w:r>
        <w:rPr>
          <w:rFonts w:ascii="Times New Roman" w:hAnsi="Times New Roman"/>
          <w:b w:val="false"/>
          <w:color w:val="000000"/>
          <w:sz w:val="20"/>
        </w:rPr>
        <w:t>and (c) a grant of an option to purchase 15,000</w:t>
      </w:r>
      <w:r>
        <w:rPr>
          <w:rFonts w:ascii="Times New Roman" w:hAnsi="Times New Roman"/>
          <w:color w:val="000000"/>
          <w:sz w:val="20"/>
        </w:rPr>
        <w:t xml:space="preserve"> </w:t>
      </w:r>
      <w:r>
        <w:rPr>
          <w:rFonts w:ascii="Times New Roman" w:hAnsi="Times New Roman"/>
          <w:b w:val="false"/>
          <w:color w:val="000000"/>
          <w:sz w:val="20"/>
        </w:rPr>
        <w:t>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Also pursuant to the terms of his offer letter, Mr. Johnston is eligible for (a) an additional equity award in the amount of 14,350</w:t>
      </w:r>
      <w:r>
        <w:rPr>
          <w:rFonts w:ascii="Times New Roman" w:hAnsi="Times New Roman"/>
          <w:color w:val="000000"/>
          <w:sz w:val="20"/>
        </w:rPr>
        <w:t xml:space="preserve"> </w:t>
      </w:r>
      <w:r>
        <w:rPr>
          <w:rFonts w:ascii="Times New Roman" w:hAnsi="Times New Roman"/>
          <w:b w:val="false"/>
          <w:color w:val="000000"/>
          <w:sz w:val="20"/>
        </w:rPr>
        <w:t>PSUs to acquire shares of the Company’s common stock, to vest at various amounts to be agreed upon each year by the Board over a three year</w:t>
      </w:r>
      <w:r>
        <w:rPr>
          <w:rFonts w:ascii="Times New Roman" w:hAnsi="Times New Roman"/>
          <w:color w:val="000000"/>
          <w:sz w:val="20"/>
        </w:rPr>
        <w:t xml:space="preserve"> </w:t>
      </w:r>
      <w:r>
        <w:rPr>
          <w:rFonts w:ascii="Times New Roman" w:hAnsi="Times New Roman"/>
          <w:b w:val="false"/>
          <w:color w:val="000000"/>
          <w:sz w:val="20"/>
        </w:rPr>
        <w:t>period commencing January 1, 2022 and ending December 31, 2024, upon the achievement of performance criteria to be mutually established by Mr. Johnston and the Compensation Committee, and (b) an additional equity award of up to 1,250</w:t>
      </w:r>
      <w:r>
        <w:rPr>
          <w:rFonts w:ascii="Times New Roman" w:hAnsi="Times New Roman"/>
          <w:color w:val="000000"/>
          <w:sz w:val="20"/>
        </w:rPr>
        <w:t xml:space="preserve"> </w:t>
      </w:r>
      <w:r>
        <w:rPr>
          <w:rFonts w:ascii="Times New Roman" w:hAnsi="Times New Roman"/>
          <w:b w:val="false"/>
          <w:color w:val="000000"/>
          <w:sz w:val="20"/>
        </w:rPr>
        <w:t>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14,350</w:t>
      </w:r>
      <w:r>
        <w:rPr>
          <w:rFonts w:ascii="Times New Roman" w:hAnsi="Times New Roman"/>
          <w:color w:val="000000"/>
          <w:sz w:val="20"/>
        </w:rPr>
        <w:t xml:space="preserve"> </w:t>
      </w:r>
      <w:r>
        <w:rPr>
          <w:rFonts w:ascii="Times New Roman" w:hAnsi="Times New Roman"/>
          <w:b w:val="false"/>
          <w:color w:val="000000"/>
          <w:sz w:val="20"/>
        </w:rPr>
        <w:t>PSUs pursuant to the terms of Mr. Johnston’s offer letter. The 14,350</w:t>
      </w:r>
      <w:r>
        <w:rPr>
          <w:rFonts w:ascii="Times New Roman" w:hAnsi="Times New Roman"/>
          <w:color w:val="000000"/>
          <w:sz w:val="20"/>
        </w:rPr>
        <w:t xml:space="preserve"> </w:t>
      </w:r>
      <w:r>
        <w:rPr>
          <w:rFonts w:ascii="Times New Roman" w:hAnsi="Times New Roman"/>
          <w:b w:val="false"/>
          <w:color w:val="000000"/>
          <w:sz w:val="20"/>
        </w:rPr>
        <w:t>PSUs that have been approved shall vest as follows: (a) up to 9,350</w:t>
      </w:r>
      <w:r>
        <w:rPr>
          <w:rFonts w:ascii="Times New Roman" w:hAnsi="Times New Roman"/>
          <w:color w:val="000000"/>
          <w:sz w:val="20"/>
        </w:rPr>
        <w:t xml:space="preserve"> </w:t>
      </w:r>
      <w:r>
        <w:rPr>
          <w:rFonts w:ascii="Times New Roman" w:hAnsi="Times New Roman"/>
          <w:b w:val="false"/>
          <w:color w:val="000000"/>
          <w:sz w:val="20"/>
        </w:rPr>
        <w:t>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(b) up to an additional 2,500</w:t>
      </w:r>
      <w:r>
        <w:rPr>
          <w:rFonts w:ascii="Times New Roman" w:hAnsi="Times New Roman"/>
          <w:color w:val="000000"/>
          <w:sz w:val="20"/>
        </w:rPr>
        <w:t xml:space="preserve"> </w:t>
      </w:r>
      <w:r>
        <w:rPr>
          <w:rFonts w:ascii="Times New Roman" w:hAnsi="Times New Roman"/>
          <w:b w:val="false"/>
          <w:color w:val="000000"/>
          <w:sz w:val="20"/>
        </w:rPr>
        <w:t>PSU shares shall vest on December 31, 2023, subject to Mr. Johnston’s continued service as Chief Executive Officer and the achievement, to be determined in the Compensation Committee’s sole discretion, by Mr. Johnston of certain performance metrics determined by the Board on May 17, 2023, and (c) up to an additional 2,500</w:t>
      </w:r>
      <w:r>
        <w:rPr>
          <w:rFonts w:ascii="Times New Roman" w:hAnsi="Times New Roman"/>
          <w:color w:val="000000"/>
          <w:sz w:val="20"/>
        </w:rPr>
        <w:t xml:space="preserve"> </w:t>
      </w:r>
      <w:r>
        <w:rPr>
          <w:rFonts w:ascii="Times New Roman" w:hAnsi="Times New Roman"/>
          <w:b w:val="false"/>
          <w:color w:val="000000"/>
          <w:sz w:val="20"/>
        </w:rPr>
        <w:t>PSU shares shall vest on December 31, 2024, subject to Mr. Johnston’s continued service as Chief Executive Officer and the achievement, to be determined and granted in the Compensation Committee’s sole discretion, by Mr. Johnston of certain performance metrics to be recommended by the Compensation Committee and approved by the Board at a subsequent date. As of September 30, 2023, the Board had not yet approved the performance criteria applicable to the up to 2,500</w:t>
      </w:r>
      <w:r>
        <w:rPr>
          <w:rFonts w:ascii="Times New Roman" w:hAnsi="Times New Roman"/>
          <w:color w:val="000000"/>
          <w:sz w:val="20"/>
        </w:rPr>
        <w:t xml:space="preserve"> </w:t>
      </w:r>
      <w:r>
        <w:rPr>
          <w:rFonts w:ascii="Times New Roman" w:hAnsi="Times New Roman"/>
          <w:b w:val="false"/>
          <w:color w:val="000000"/>
          <w:sz w:val="20"/>
        </w:rPr>
        <w:t>PSU shares that will vest on December 31, 2024; therefore, these 2,500</w:t>
      </w:r>
      <w:r>
        <w:rPr>
          <w:rFonts w:ascii="Times New Roman" w:hAnsi="Times New Roman"/>
          <w:color w:val="000000"/>
          <w:sz w:val="20"/>
        </w:rPr>
        <w:t xml:space="preserve"> </w:t>
      </w:r>
      <w:r>
        <w:rPr>
          <w:rFonts w:ascii="Times New Roman" w:hAnsi="Times New Roman"/>
          <w:b w:val="false"/>
          <w:color w:val="000000"/>
          <w:sz w:val="20"/>
        </w:rPr>
        <w:t>PSUs have not been considered granted.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Commitments and Contingencies,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Mr. Johnston is also eligible to receive all customary and usual benefits generally available to senior executives of the Company.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Executive Transition Agreement – Stephen Rizzone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April 3, 2015, the Company entered into an Amended and Restated Executive Employment Agreement with Stephen R. Rizzone, the Company’s former President and Chief Executive Officer (“Employment Agreement”).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Employment Agreement, effective as of January 1, 2015, had an initial term of four years</w:t>
      </w:r>
      <w:r>
        <w:rPr>
          <w:rFonts w:ascii="Times New Roman" w:hAnsi="Times New Roman"/>
          <w:color w:val="000000"/>
          <w:sz w:val="20"/>
        </w:rPr>
        <w:t xml:space="preserve"> </w:t>
      </w:r>
      <w:r>
        <w:rPr>
          <w:rFonts w:ascii="Times New Roman" w:hAnsi="Times New Roman"/>
          <w:b w:val="false"/>
          <w:color w:val="000000"/>
          <w:sz w:val="20"/>
        </w:rPr>
        <w:t>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July 9, 2021, the Company announced that Stephen R. Rizzone had retired from his position as the Company’s President and Chief Executive Officer and as a member of the Board.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w:t>
      </w:r>
      <w:r>
        <w:rPr>
          <w:rFonts w:ascii="Times New Roman" w:hAnsi="Times New Roman"/>
          <w:color w:val="000000"/>
          <w:sz w:val="20"/>
        </w:rPr>
        <w:t xml:space="preserve"> </w:t>
      </w:r>
      <w:r>
        <w:rPr>
          <w:rFonts w:ascii="Times New Roman" w:hAnsi="Times New Roman"/>
          <w:b w:val="false"/>
          <w:color w:val="000000"/>
          <w:sz w:val="20"/>
        </w:rPr>
        <w:t>in the aggregate, payable under a certain payment scheme as set forth therein, an additional lump sum cash payment of $2,000,000, a pro-rated bonus payment for the two months of employment during the then current quarterly bonus period payable at the same time bonus payments were made to other executives of the Company, settlement of deferred vested RSUs and an extension of the exercise periods of all stock options held by Mr. Rizzone until the one year anniversary of his termination date, and additional benefits related to Mr. Rizzone’s medical insurance.</w:t>
      </w:r>
      <w:r>
        <w:rPr>
          <w:rFonts w:ascii="Times New Roman" w:hAnsi="Times New Roman"/>
          <w:color w:val="000000"/>
          <w:sz w:val="20"/>
        </w:rPr>
        <w:t xml:space="preserve"> </w:t>
      </w:r>
      <w:r>
        <w:rPr>
          <w:rFonts w:ascii="Times New Roman" w:hAnsi="Times New Roman"/>
          <w:b w:val="false"/>
          <w:color w:val="000000"/>
          <w:sz w:val="20"/>
        </w:rPr>
        <w:t>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no</w:t>
      </w:r>
      <w:r>
        <w:rPr>
          <w:rFonts w:ascii="Times New Roman" w:hAnsi="Times New Roman"/>
          <w:color w:val="000000"/>
          <w:sz w:val="20"/>
        </w:rPr>
        <w:t xml:space="preserve"> </w:t>
      </w:r>
      <w:r>
        <w:rPr>
          <w:rFonts w:ascii="Times New Roman" w:hAnsi="Times New Roman"/>
          <w:b w:val="false"/>
          <w:color w:val="000000"/>
          <w:sz w:val="20"/>
        </w:rPr>
        <w:t>accrued expense pertaining to Mr. Rizzone's Separation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Executive Transition Agreement – Neeraj Sahejpal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twelve months of Mr. Sahejpal’s then-current salary of $261,250, twelve months of maximum potential bonus of $261,250, and twelve months of COBRA reimbursements. In addition, all RSUs held by Mr. Sahejpal that were due to vest in the twelve months after his departure, totaling RSUs covering 4,297</w:t>
      </w:r>
      <w:r>
        <w:rPr>
          <w:rFonts w:ascii="Times New Roman" w:hAnsi="Times New Roman"/>
          <w:color w:val="000000"/>
          <w:sz w:val="20"/>
        </w:rPr>
        <w:t xml:space="preserve"> </w:t>
      </w:r>
      <w:r>
        <w:rPr>
          <w:rFonts w:ascii="Times New Roman" w:hAnsi="Times New Roman"/>
          <w:b w:val="false"/>
          <w:color w:val="000000"/>
          <w:sz w:val="20"/>
        </w:rPr>
        <w:t>shares, were accelerated.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no</w:t>
      </w:r>
      <w:r>
        <w:rPr>
          <w:rFonts w:ascii="Times New Roman" w:hAnsi="Times New Roman"/>
          <w:color w:val="000000"/>
          <w:sz w:val="20"/>
        </w:rPr>
        <w:t xml:space="preserve"> </w:t>
      </w:r>
      <w:r>
        <w:rPr>
          <w:rFonts w:ascii="Times New Roman" w:hAnsi="Times New Roman"/>
          <w:b w:val="false"/>
          <w:color w:val="000000"/>
          <w:sz w:val="20"/>
        </w:rPr>
        <w:t>unpaid accrued severance expense pertaining to Mr. Sahejpal’s agreement.</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Commitments and Contingencies,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Executive Transition Agreement – William Mannina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July 20, 2023, the Company announced the departure of William Mannina, former Acting Chief Financial Officer, effective August 16, 2023. Pursuant to the terms of a letter agreement between Mr. Mannina and the Company, Mr. Mannina will receive payments and benefits including cash severance payments equivalent to nine months of his then-current salary of $265,825</w:t>
      </w:r>
      <w:r>
        <w:rPr>
          <w:rFonts w:ascii="Times New Roman" w:hAnsi="Times New Roman"/>
          <w:color w:val="000000"/>
          <w:sz w:val="20"/>
        </w:rPr>
        <w:t xml:space="preserve"> </w:t>
      </w:r>
      <w:r>
        <w:rPr>
          <w:rFonts w:ascii="Times New Roman" w:hAnsi="Times New Roman"/>
          <w:b w:val="false"/>
          <w:color w:val="000000"/>
          <w:sz w:val="20"/>
        </w:rPr>
        <w:t>and premium payments for continued healthcare coverage for nine months following his resignation effective date. Mr. Mannina’s restricted stock units continued to vest through August 16,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accrued unpaid severance expense of $196,941</w:t>
      </w:r>
      <w:r>
        <w:rPr>
          <w:rFonts w:ascii="Times New Roman" w:hAnsi="Times New Roman"/>
          <w:color w:val="000000"/>
          <w:sz w:val="20"/>
        </w:rPr>
        <w:t xml:space="preserve"> </w:t>
      </w:r>
      <w:r>
        <w:rPr>
          <w:rFonts w:ascii="Times New Roman" w:hAnsi="Times New Roman"/>
          <w:b w:val="false"/>
          <w:color w:val="000000"/>
          <w:sz w:val="20"/>
        </w:rPr>
        <w:t>pertaining to Mr. Mannina's agreement.</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Strategic Alliance Agreement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November 2016, the Company and Dialog Semiconductor plc (“Dialog”), a related party (see Note 9—Related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September 20, 2021, the Company was notified by Dialog, then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 (see Note 9 – Related Party Transactions for expenses incurred by the Company from Renesas Electronics 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Stockholders’ Equity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Authorized Capital</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holders of the Company’s common stock are entitled to one</w:t>
      </w:r>
      <w:r>
        <w:rPr>
          <w:rFonts w:ascii="Times New Roman" w:hAnsi="Times New Roman"/>
          <w:color w:val="000000"/>
          <w:sz w:val="20"/>
        </w:rPr>
        <w:t xml:space="preserve"> </w:t>
      </w:r>
      <w:r>
        <w:rPr>
          <w:rFonts w:ascii="Times New Roman" w:hAnsi="Times New Roman"/>
          <w:b w:val="false"/>
          <w:color w:val="000000"/>
          <w:sz w:val="20"/>
        </w:rPr>
        <w:t>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5 – Stockholders’ Equity,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Financing</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September 15, 2020, the Company filed a shelf registration statement on Form S-3 with the SEC, which became effective on September 24, 2020 (the "Prior Shelf"), and contains two prospectuses: a base prospectus, which covered the offering, issuance and sale by the Company of up to $75,000,000</w:t>
      </w:r>
      <w:r>
        <w:rPr>
          <w:rFonts w:ascii="Times New Roman" w:hAnsi="Times New Roman"/>
          <w:color w:val="000000"/>
          <w:sz w:val="20"/>
        </w:rPr>
        <w:t xml:space="preserve"> </w:t>
      </w:r>
      <w:r>
        <w:rPr>
          <w:rFonts w:ascii="Times New Roman" w:hAnsi="Times New Roman"/>
          <w:b w:val="false"/>
          <w:color w:val="000000"/>
          <w:sz w:val="20"/>
        </w:rPr>
        <w:t>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w:t>
      </w:r>
      <w:r>
        <w:rPr>
          <w:rFonts w:ascii="Times New Roman" w:hAnsi="Times New Roman"/>
          <w:color w:val="000000"/>
          <w:sz w:val="20"/>
        </w:rPr>
        <w:t xml:space="preserve"> </w:t>
      </w:r>
      <w:r>
        <w:rPr>
          <w:rFonts w:ascii="Times New Roman" w:hAnsi="Times New Roman"/>
          <w:b w:val="false"/>
          <w:color w:val="000000"/>
          <w:sz w:val="20"/>
        </w:rPr>
        <w:t>of its common stock that may be issued and sold under the At Market Issuance Sales Agreement, as amended, between the Company and B. Riley Securities, Inc. (the “ATM Program”). The $40,000,000</w:t>
      </w:r>
      <w:r>
        <w:rPr>
          <w:rFonts w:ascii="Times New Roman" w:hAnsi="Times New Roman"/>
          <w:color w:val="000000"/>
          <w:sz w:val="20"/>
        </w:rPr>
        <w:t xml:space="preserve"> </w:t>
      </w:r>
      <w:r>
        <w:rPr>
          <w:rFonts w:ascii="Times New Roman" w:hAnsi="Times New Roman"/>
          <w:b w:val="false"/>
          <w:color w:val="000000"/>
          <w:sz w:val="20"/>
        </w:rPr>
        <w:t>of common stock to be offered, issued and sold under the ATM Program was included in the $75,000,000</w:t>
      </w:r>
      <w:r>
        <w:rPr>
          <w:rFonts w:ascii="Times New Roman" w:hAnsi="Times New Roman"/>
          <w:color w:val="000000"/>
          <w:sz w:val="20"/>
        </w:rPr>
        <w:t xml:space="preserve"> </w:t>
      </w:r>
      <w:r>
        <w:rPr>
          <w:rFonts w:ascii="Times New Roman" w:hAnsi="Times New Roman"/>
          <w:b w:val="false"/>
          <w:color w:val="000000"/>
          <w:sz w:val="20"/>
        </w:rPr>
        <w:t>of securities that could have been offered, issued and sold by the Company under the base prospectus.</w:t>
      </w:r>
      <w:r>
        <w:rPr>
          <w:rFonts w:ascii="Times New Roman" w:hAnsi="Times New Roman"/>
          <w:color w:val="000000"/>
          <w:sz w:val="20"/>
        </w:rPr>
        <w:t xml:space="preserve"> </w:t>
      </w:r>
      <w:r>
        <w:rPr>
          <w:rFonts w:ascii="Times New Roman" w:hAnsi="Times New Roman"/>
          <w:b w:val="false"/>
          <w:color w:val="000000"/>
          <w:sz w:val="20"/>
        </w:rPr>
        <w:t>On September 24, 2023, the Prior Shelf expired and no further securities were issued under it. Pursuant to the Prior Shelf, the Company sold shares which raised net proceeds of $38,832,711</w:t>
      </w:r>
      <w:r>
        <w:rPr>
          <w:rFonts w:ascii="Times New Roman" w:hAnsi="Times New Roman"/>
          <w:color w:val="000000"/>
          <w:sz w:val="20"/>
        </w:rPr>
        <w:t xml:space="preserve"> </w:t>
      </w:r>
      <w:r>
        <w:rPr>
          <w:rFonts w:ascii="Times New Roman" w:hAnsi="Times New Roman"/>
          <w:b w:val="false"/>
          <w:color w:val="000000"/>
          <w:sz w:val="20"/>
        </w:rPr>
        <w:t>(net of $1,167,289</w:t>
      </w:r>
      <w:r>
        <w:rPr>
          <w:rFonts w:ascii="Times New Roman" w:hAnsi="Times New Roman"/>
          <w:color w:val="000000"/>
          <w:sz w:val="20"/>
        </w:rPr>
        <w:t xml:space="preserve"> </w:t>
      </w:r>
      <w:r>
        <w:rPr>
          <w:rFonts w:ascii="Times New Roman" w:hAnsi="Times New Roman"/>
          <w:b w:val="false"/>
          <w:color w:val="000000"/>
          <w:sz w:val="20"/>
        </w:rPr>
        <w:t>in issuance costs) during the third and fourth quarters of 2020 under the ATM Program.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October 4, 2021, the Company filed a prospectus supplement to the Prior Shelf covering the offering, issuance and sale of up to an additional $35,000,000</w:t>
      </w:r>
      <w:r>
        <w:rPr>
          <w:rFonts w:ascii="Times New Roman" w:hAnsi="Times New Roman"/>
          <w:color w:val="000000"/>
          <w:sz w:val="20"/>
        </w:rPr>
        <w:t xml:space="preserve"> </w:t>
      </w:r>
      <w:r>
        <w:rPr>
          <w:rFonts w:ascii="Times New Roman" w:hAnsi="Times New Roman"/>
          <w:b w:val="false"/>
          <w:color w:val="000000"/>
          <w:sz w:val="20"/>
        </w:rPr>
        <w:t>of shares of the Company’s common stock pursuant to the ATM Program. The Company raised net proceeds of $27,043,751</w:t>
      </w:r>
      <w:r>
        <w:rPr>
          <w:rFonts w:ascii="Times New Roman" w:hAnsi="Times New Roman"/>
          <w:color w:val="000000"/>
          <w:sz w:val="20"/>
        </w:rPr>
        <w:t xml:space="preserve"> </w:t>
      </w:r>
      <w:r>
        <w:rPr>
          <w:rFonts w:ascii="Times New Roman" w:hAnsi="Times New Roman"/>
          <w:b w:val="false"/>
          <w:color w:val="000000"/>
          <w:sz w:val="20"/>
        </w:rPr>
        <w:t>(net of $868,122</w:t>
      </w:r>
      <w:r>
        <w:rPr>
          <w:rFonts w:ascii="Times New Roman" w:hAnsi="Times New Roman"/>
          <w:color w:val="000000"/>
          <w:sz w:val="20"/>
        </w:rPr>
        <w:t xml:space="preserve"> </w:t>
      </w:r>
      <w:r>
        <w:rPr>
          <w:rFonts w:ascii="Times New Roman" w:hAnsi="Times New Roman"/>
          <w:b w:val="false"/>
          <w:color w:val="000000"/>
          <w:sz w:val="20"/>
        </w:rPr>
        <w:t>in issuance costs) during 2021 under the ATM Program. During 2022, the Company raised an additional $744,787</w:t>
      </w:r>
      <w:r>
        <w:rPr>
          <w:rFonts w:ascii="Times New Roman" w:hAnsi="Times New Roman"/>
          <w:color w:val="000000"/>
          <w:sz w:val="20"/>
        </w:rPr>
        <w:t xml:space="preserve"> </w:t>
      </w:r>
      <w:r>
        <w:rPr>
          <w:rFonts w:ascii="Times New Roman" w:hAnsi="Times New Roman"/>
          <w:b w:val="false"/>
          <w:color w:val="000000"/>
          <w:sz w:val="20"/>
        </w:rPr>
        <w:t>(net of $73,403</w:t>
      </w:r>
      <w:r>
        <w:rPr>
          <w:rFonts w:ascii="Times New Roman" w:hAnsi="Times New Roman"/>
          <w:color w:val="000000"/>
          <w:sz w:val="20"/>
        </w:rPr>
        <w:t xml:space="preserve"> </w:t>
      </w:r>
      <w:r>
        <w:rPr>
          <w:rFonts w:ascii="Times New Roman" w:hAnsi="Times New Roman"/>
          <w:b w:val="false"/>
          <w:color w:val="000000"/>
          <w:sz w:val="20"/>
        </w:rPr>
        <w:t>in issuance costs) under the ATM Program. During the first quarter of 2023, the Company raised $2,674,697</w:t>
      </w:r>
      <w:r>
        <w:rPr>
          <w:rFonts w:ascii="Times New Roman" w:hAnsi="Times New Roman"/>
          <w:color w:val="000000"/>
          <w:sz w:val="20"/>
        </w:rPr>
        <w:t xml:space="preserve"> </w:t>
      </w:r>
      <w:r>
        <w:rPr>
          <w:rFonts w:ascii="Times New Roman" w:hAnsi="Times New Roman"/>
          <w:b w:val="false"/>
          <w:color w:val="000000"/>
          <w:sz w:val="20"/>
        </w:rPr>
        <w:t>(net of $68,637</w:t>
      </w:r>
      <w:r>
        <w:rPr>
          <w:rFonts w:ascii="Times New Roman" w:hAnsi="Times New Roman"/>
          <w:color w:val="000000"/>
          <w:sz w:val="20"/>
        </w:rPr>
        <w:t xml:space="preserve"> </w:t>
      </w:r>
      <w:r>
        <w:rPr>
          <w:rFonts w:ascii="Times New Roman" w:hAnsi="Times New Roman"/>
          <w:b w:val="false"/>
          <w:color w:val="000000"/>
          <w:sz w:val="20"/>
        </w:rPr>
        <w:t>in issuance costs) under the ATM Program. During the third quarter of 2023, the Company raised $880,866</w:t>
      </w:r>
      <w:r>
        <w:rPr>
          <w:rFonts w:ascii="Times New Roman" w:hAnsi="Times New Roman"/>
          <w:color w:val="000000"/>
          <w:sz w:val="20"/>
        </w:rPr>
        <w:t xml:space="preserve"> </w:t>
      </w:r>
      <w:r>
        <w:rPr>
          <w:rFonts w:ascii="Times New Roman" w:hAnsi="Times New Roman"/>
          <w:b w:val="false"/>
          <w:color w:val="000000"/>
          <w:sz w:val="20"/>
        </w:rPr>
        <w:t>(net of $94,162</w:t>
      </w:r>
      <w:r>
        <w:rPr>
          <w:rFonts w:ascii="Times New Roman" w:hAnsi="Times New Roman"/>
          <w:color w:val="000000"/>
          <w:sz w:val="20"/>
        </w:rPr>
        <w:t xml:space="preserve"> </w:t>
      </w:r>
      <w:r>
        <w:rPr>
          <w:rFonts w:ascii="Times New Roman" w:hAnsi="Times New Roman"/>
          <w:b w:val="false"/>
          <w:color w:val="000000"/>
          <w:sz w:val="20"/>
        </w:rPr>
        <w:t>in issuance costs) under the ATM Program. As of September 30, 2023, there is no</w:t>
      </w:r>
      <w:r>
        <w:rPr>
          <w:rFonts w:ascii="Times New Roman" w:hAnsi="Times New Roman"/>
          <w:color w:val="000000"/>
          <w:sz w:val="20"/>
        </w:rPr>
        <w:t xml:space="preserve"> </w:t>
      </w:r>
      <w:r>
        <w:rPr>
          <w:rFonts w:ascii="Times New Roman" w:hAnsi="Times New Roman"/>
          <w:b w:val="false"/>
          <w:color w:val="000000"/>
          <w:sz w:val="20"/>
        </w:rPr>
        <w:t>amount left remaining on the Prior Shelf due to its expiration on September 24,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November 15, 2021, the Company filed a shelf registration statement on Form S-3 with the SEC, which became effective on December 16, 2021 (the "Current Shelf"). This shelf registration statement allows the Company to sell, from time to time, any combination of debt or equity securities described in the registration statement up to aggregate proceeds of $100,000,000. Pursuant to this registration statement, on March 28, 2023, the Company completed an underwritten offering pursuant to which it issued and sold an aggregate of (i) 412,500</w:t>
      </w:r>
      <w:r>
        <w:rPr>
          <w:rFonts w:ascii="Times New Roman" w:hAnsi="Times New Roman"/>
          <w:color w:val="000000"/>
          <w:sz w:val="20"/>
        </w:rPr>
        <w:t xml:space="preserve"> </w:t>
      </w:r>
      <w:r>
        <w:rPr>
          <w:rFonts w:ascii="Times New Roman" w:hAnsi="Times New Roman"/>
          <w:b w:val="false"/>
          <w:color w:val="000000"/>
          <w:sz w:val="20"/>
        </w:rPr>
        <w:t>shares of its common stock (the “Shares”) and (ii) warrants to purchase up to 412,500</w:t>
      </w:r>
      <w:r>
        <w:rPr>
          <w:rFonts w:ascii="Times New Roman" w:hAnsi="Times New Roman"/>
          <w:color w:val="000000"/>
          <w:sz w:val="20"/>
        </w:rPr>
        <w:t xml:space="preserve"> </w:t>
      </w:r>
      <w:r>
        <w:rPr>
          <w:rFonts w:ascii="Times New Roman" w:hAnsi="Times New Roman"/>
          <w:b w:val="false"/>
          <w:color w:val="000000"/>
          <w:sz w:val="20"/>
        </w:rPr>
        <w:t>shares of its common stock (the “2023 Warrants”), for net proceeds of $2,677,191, after deducting underwriting discounts, commission and expenses payable by the Company. The 2023 Warrants were immediately exercisable upon issuance and have a term of six years</w:t>
      </w:r>
      <w:r>
        <w:rPr>
          <w:rFonts w:ascii="Times New Roman" w:hAnsi="Times New Roman"/>
          <w:color w:val="000000"/>
          <w:sz w:val="20"/>
        </w:rPr>
        <w:t xml:space="preserve"> </w:t>
      </w:r>
      <w:r>
        <w:rPr>
          <w:rFonts w:ascii="Times New Roman" w:hAnsi="Times New Roman"/>
          <w:b w:val="false"/>
          <w:color w:val="000000"/>
          <w:sz w:val="20"/>
        </w:rPr>
        <w:t>and an exercise price of $8.00. The Company allocated the proceeds received first to the 2023 Warrants based on the fair value of the 2023 Warrants as determined at initial measurement, with the remaining proceeds allocated to the Shares (see Note 7 – Warrant Liability and Note 8 – Fair Value Measurements). Pursuant to the terms of the 2023 Warrants, the exercise price was adjusted to $1.66</w:t>
      </w:r>
      <w:r>
        <w:rPr>
          <w:rFonts w:ascii="Times New Roman" w:hAnsi="Times New Roman"/>
          <w:color w:val="000000"/>
          <w:sz w:val="20"/>
        </w:rPr>
        <w:t xml:space="preserve"> </w:t>
      </w:r>
      <w:r>
        <w:rPr>
          <w:rFonts w:ascii="Times New Roman" w:hAnsi="Times New Roman"/>
          <w:b w:val="false"/>
          <w:color w:val="000000"/>
          <w:sz w:val="20"/>
        </w:rPr>
        <w:t>as of September 30,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30, 2023, the Company filed a prospectus supplement to the Current Shelf covering the offering, issuance and sale of up to an additional $25,000,000</w:t>
      </w:r>
      <w:r>
        <w:rPr>
          <w:rFonts w:ascii="Times New Roman" w:hAnsi="Times New Roman"/>
          <w:color w:val="000000"/>
          <w:sz w:val="20"/>
        </w:rPr>
        <w:t xml:space="preserve"> </w:t>
      </w:r>
      <w:r>
        <w:rPr>
          <w:rFonts w:ascii="Times New Roman" w:hAnsi="Times New Roman"/>
          <w:b w:val="false"/>
          <w:color w:val="000000"/>
          <w:sz w:val="20"/>
        </w:rPr>
        <w:t>of shares of the Company’s common stock pursuant to the ATM Program. During the third quarter of 2023, the Company raised $1,986</w:t>
      </w:r>
      <w:r>
        <w:rPr>
          <w:rFonts w:ascii="Times New Roman" w:hAnsi="Times New Roman"/>
          <w:color w:val="000000"/>
          <w:sz w:val="20"/>
        </w:rPr>
        <w:t xml:space="preserve"> </w:t>
      </w:r>
      <w:r>
        <w:rPr>
          <w:rFonts w:ascii="Times New Roman" w:hAnsi="Times New Roman"/>
          <w:b w:val="false"/>
          <w:color w:val="000000"/>
          <w:sz w:val="20"/>
        </w:rPr>
        <w:t>(net of $56</w:t>
      </w:r>
      <w:r>
        <w:rPr>
          <w:rFonts w:ascii="Times New Roman" w:hAnsi="Times New Roman"/>
          <w:color w:val="000000"/>
          <w:sz w:val="20"/>
        </w:rPr>
        <w:t xml:space="preserve"> </w:t>
      </w:r>
      <w:r>
        <w:rPr>
          <w:rFonts w:ascii="Times New Roman" w:hAnsi="Times New Roman"/>
          <w:b w:val="false"/>
          <w:color w:val="000000"/>
          <w:sz w:val="20"/>
        </w:rPr>
        <w:t>in issuance costs) under the ATM Program. As of September 30, 2023, the Company has $24,997,958</w:t>
      </w:r>
      <w:r>
        <w:rPr>
          <w:rFonts w:ascii="Times New Roman" w:hAnsi="Times New Roman"/>
          <w:color w:val="000000"/>
          <w:sz w:val="20"/>
        </w:rPr>
        <w:t xml:space="preserve"> </w:t>
      </w:r>
      <w:r>
        <w:rPr>
          <w:rFonts w:ascii="Times New Roman" w:hAnsi="Times New Roman"/>
          <w:b w:val="false"/>
          <w:color w:val="000000"/>
          <w:sz w:val="20"/>
        </w:rPr>
        <w:t>remaining available under the ATM Program.</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Common Stock Outstanding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w:t>
      </w:r>
      <w:r>
        <w:rPr>
          <w:rFonts w:ascii="Times New Roman" w:hAnsi="Times New Roman"/>
          <w:color w:val="000000"/>
          <w:sz w:val="20"/>
        </w:rPr>
        <w:t xml:space="preserve"> </w:t>
      </w:r>
      <w:r>
        <w:rPr>
          <w:rFonts w:ascii="Times New Roman" w:hAnsi="Times New Roman"/>
          <w:b w:val="false"/>
          <w:color w:val="000000"/>
          <w:sz w:val="20"/>
        </w:rPr>
        <w:t>shares of common stock authorized for issuance.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Stock-Based Compensation</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2013 Equity Incentive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Effective on June 14, 2023, the Company’s stockholders approved the amendment and restatement of the 2013 Equity Incentive Plan to increase the number of shares reserved for issuance thereunder by 50,000</w:t>
      </w:r>
      <w:r>
        <w:rPr>
          <w:rFonts w:ascii="Times New Roman" w:hAnsi="Times New Roman"/>
          <w:color w:val="000000"/>
          <w:sz w:val="20"/>
        </w:rPr>
        <w:t xml:space="preserve"> </w:t>
      </w:r>
      <w:r>
        <w:rPr>
          <w:rFonts w:ascii="Times New Roman" w:hAnsi="Times New Roman"/>
          <w:b w:val="false"/>
          <w:color w:val="000000"/>
          <w:sz w:val="20"/>
        </w:rPr>
        <w:t>shares, bringing to 489,298</w:t>
      </w:r>
      <w:r>
        <w:rPr>
          <w:rFonts w:ascii="Times New Roman" w:hAnsi="Times New Roman"/>
          <w:color w:val="000000"/>
          <w:sz w:val="20"/>
        </w:rPr>
        <w:t xml:space="preserve"> </w:t>
      </w:r>
      <w:r>
        <w:rPr>
          <w:rFonts w:ascii="Times New Roman" w:hAnsi="Times New Roman"/>
          <w:b w:val="false"/>
          <w:color w:val="000000"/>
          <w:sz w:val="20"/>
        </w:rPr>
        <w:t>the total number of shares approved for issuance under that plan.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118,565</w:t>
      </w:r>
      <w:r>
        <w:rPr>
          <w:rFonts w:ascii="Times New Roman" w:hAnsi="Times New Roman"/>
          <w:color w:val="000000"/>
          <w:sz w:val="20"/>
        </w:rPr>
        <w:t xml:space="preserve"> </w:t>
      </w:r>
      <w:r>
        <w:rPr>
          <w:rFonts w:ascii="Times New Roman" w:hAnsi="Times New Roman"/>
          <w:b w:val="false"/>
          <w:color w:val="000000"/>
          <w:sz w:val="20"/>
        </w:rPr>
        <w:t>shares of common stock remain eligible to be issued through equity-based instruments under the 2013 Equity Incentive Plan.</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2014 Non-Employee Equity Compensation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Effective on May 26, 2020, the Company’s stockholders approved the amendment and restatement of the 2014 Non-Employee Equity Compensation Plan to increase the number of shares reserved for issuance through equity-based instruments thereunder by 40,000</w:t>
      </w:r>
      <w:r>
        <w:rPr>
          <w:rFonts w:ascii="Times New Roman" w:hAnsi="Times New Roman"/>
          <w:color w:val="000000"/>
          <w:sz w:val="20"/>
        </w:rPr>
        <w:t xml:space="preserve"> </w:t>
      </w:r>
      <w:r>
        <w:rPr>
          <w:rFonts w:ascii="Times New Roman" w:hAnsi="Times New Roman"/>
          <w:b w:val="false"/>
          <w:color w:val="000000"/>
          <w:sz w:val="20"/>
        </w:rPr>
        <w:t>shares, bringing to 82,500</w:t>
      </w:r>
      <w:r>
        <w:rPr>
          <w:rFonts w:ascii="Times New Roman" w:hAnsi="Times New Roman"/>
          <w:color w:val="000000"/>
          <w:sz w:val="20"/>
        </w:rPr>
        <w:t xml:space="preserve"> </w:t>
      </w:r>
      <w:r>
        <w:rPr>
          <w:rFonts w:ascii="Times New Roman" w:hAnsi="Times New Roman"/>
          <w:b w:val="false"/>
          <w:color w:val="000000"/>
          <w:sz w:val="20"/>
        </w:rPr>
        <w:t>the total number of shares approved for issuance under that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29,137</w:t>
      </w:r>
      <w:r>
        <w:rPr>
          <w:rFonts w:ascii="Times New Roman" w:hAnsi="Times New Roman"/>
          <w:color w:val="000000"/>
          <w:sz w:val="20"/>
        </w:rPr>
        <w:t xml:space="preserve"> </w:t>
      </w:r>
      <w:r>
        <w:rPr>
          <w:rFonts w:ascii="Times New Roman" w:hAnsi="Times New Roman"/>
          <w:b w:val="false"/>
          <w:color w:val="000000"/>
          <w:sz w:val="20"/>
        </w:rPr>
        <w:t>shares of common stock remain eligible to be issued through equity-based instruments under the 2014 Non-Employee Equity Compensation Plan.</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2015 Performance Share Unit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Effective on June 16, 2021, the Company’s stockholders approved the amendment and restatement of the 2015 Performance Share Unit Plan to increase the number of shares reserved for issuance through equity-based instruments thereunder by 85,000</w:t>
      </w:r>
      <w:r>
        <w:rPr>
          <w:rFonts w:ascii="Times New Roman" w:hAnsi="Times New Roman"/>
          <w:color w:val="000000"/>
          <w:sz w:val="20"/>
        </w:rPr>
        <w:t xml:space="preserve"> </w:t>
      </w:r>
      <w:r>
        <w:rPr>
          <w:rFonts w:ascii="Times New Roman" w:hAnsi="Times New Roman"/>
          <w:b w:val="false"/>
          <w:color w:val="000000"/>
          <w:sz w:val="20"/>
        </w:rPr>
        <w:t>shares, bringing to 255,505</w:t>
      </w:r>
      <w:r>
        <w:rPr>
          <w:rFonts w:ascii="Times New Roman" w:hAnsi="Times New Roman"/>
          <w:color w:val="000000"/>
          <w:sz w:val="20"/>
        </w:rPr>
        <w:t xml:space="preserve"> </w:t>
      </w:r>
      <w:r>
        <w:rPr>
          <w:rFonts w:ascii="Times New Roman" w:hAnsi="Times New Roman"/>
          <w:b w:val="false"/>
          <w:color w:val="000000"/>
          <w:sz w:val="20"/>
        </w:rPr>
        <w:t>the total number of shares approved for issuance under that plan.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106,272</w:t>
      </w:r>
      <w:r>
        <w:rPr>
          <w:rFonts w:ascii="Times New Roman" w:hAnsi="Times New Roman"/>
          <w:color w:val="000000"/>
          <w:sz w:val="20"/>
        </w:rPr>
        <w:t xml:space="preserve"> </w:t>
      </w:r>
      <w:r>
        <w:rPr>
          <w:rFonts w:ascii="Times New Roman" w:hAnsi="Times New Roman"/>
          <w:b w:val="false"/>
          <w:color w:val="000000"/>
          <w:sz w:val="20"/>
        </w:rPr>
        <w:t>shares of common stock remain eligible to be issued through equity-based instruments under the 2015 Performance Share Unit Plan.</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2017 Equity Inducement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28, 2017, the Board approved the 2017 Equity Inducement Plan. Under the 2017 Equity Inducement Plan, the Board reserved 30,000</w:t>
      </w:r>
      <w:r>
        <w:rPr>
          <w:rFonts w:ascii="Times New Roman" w:hAnsi="Times New Roman"/>
          <w:color w:val="000000"/>
          <w:sz w:val="20"/>
        </w:rPr>
        <w:t xml:space="preserve"> </w:t>
      </w:r>
      <w:r>
        <w:rPr>
          <w:rFonts w:ascii="Times New Roman" w:hAnsi="Times New Roman"/>
          <w:b w:val="false"/>
          <w:color w:val="000000"/>
          <w:sz w:val="20"/>
        </w:rPr>
        <w:t>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July 20, 2022, the Board increased the number of shares of common stock reserved and available for issuance under the 2017 Equity Inducement Plan by 100,000</w:t>
      </w:r>
      <w:r>
        <w:rPr>
          <w:rFonts w:ascii="Times New Roman" w:hAnsi="Times New Roman"/>
          <w:color w:val="000000"/>
          <w:sz w:val="20"/>
        </w:rPr>
        <w:t xml:space="preserve"> </w:t>
      </w:r>
      <w:r>
        <w:rPr>
          <w:rFonts w:ascii="Times New Roman" w:hAnsi="Times New Roman"/>
          <w:b w:val="false"/>
          <w:color w:val="000000"/>
          <w:sz w:val="20"/>
        </w:rPr>
        <w:t>shares. As of September 30, 2023, 48,834</w:t>
      </w:r>
      <w:r>
        <w:rPr>
          <w:rFonts w:ascii="Times New Roman" w:hAnsi="Times New Roman"/>
          <w:color w:val="000000"/>
          <w:sz w:val="20"/>
        </w:rPr>
        <w:t xml:space="preserve"> </w:t>
      </w:r>
      <w:r>
        <w:rPr>
          <w:rFonts w:ascii="Times New Roman" w:hAnsi="Times New Roman"/>
          <w:b w:val="false"/>
          <w:color w:val="000000"/>
          <w:sz w:val="20"/>
        </w:rPr>
        <w:t>shares of common stock remain available to be issued through equity-based instruments under the 2017 Equity Inducement Plan.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2015, the Company’s Board approved the ESPP, under which 30,000</w:t>
      </w:r>
      <w:r>
        <w:rPr>
          <w:rFonts w:ascii="Times New Roman" w:hAnsi="Times New Roman"/>
          <w:color w:val="000000"/>
          <w:sz w:val="20"/>
        </w:rPr>
        <w:t xml:space="preserve"> </w:t>
      </w:r>
      <w:r>
        <w:rPr>
          <w:rFonts w:ascii="Times New Roman" w:hAnsi="Times New Roman"/>
          <w:b w:val="false"/>
          <w:color w:val="000000"/>
          <w:sz w:val="20"/>
        </w:rPr>
        <w:t>shares of common stock have been reserved for purchase by the Company’s employees, subject to the approval by the Company’s stockholders. On May 21, 2015, the Company’s stockholders approved the ESPP. Effective on June 14, 2023, the Company’s stockholders approved the amendment and restatement of the ESPP to increase the number of shares reserved for issuance through equity-based instruments thereunder by 25,000</w:t>
      </w:r>
      <w:r>
        <w:rPr>
          <w:rFonts w:ascii="Times New Roman" w:hAnsi="Times New Roman"/>
          <w:color w:val="000000"/>
          <w:sz w:val="20"/>
        </w:rPr>
        <w:t xml:space="preserve"> </w:t>
      </w:r>
      <w:r>
        <w:rPr>
          <w:rFonts w:ascii="Times New Roman" w:hAnsi="Times New Roman"/>
          <w:b w:val="false"/>
          <w:color w:val="000000"/>
          <w:sz w:val="20"/>
        </w:rPr>
        <w:t>shares, bringing to 102,500</w:t>
      </w:r>
      <w:r>
        <w:rPr>
          <w:rFonts w:ascii="Times New Roman" w:hAnsi="Times New Roman"/>
          <w:color w:val="000000"/>
          <w:sz w:val="20"/>
        </w:rPr>
        <w:t xml:space="preserve"> </w:t>
      </w:r>
      <w:r>
        <w:rPr>
          <w:rFonts w:ascii="Times New Roman" w:hAnsi="Times New Roman"/>
          <w:b w:val="false"/>
          <w:color w:val="000000"/>
          <w:sz w:val="20"/>
        </w:rPr>
        <w:t>the total number of shares approved for issuance under that plan. Under the ESPP, employees may designate an amount not less than 1% but not more than 10% of their annual compensation for the purchase of Company shares. An offering period shall be six months</w:t>
      </w:r>
      <w:r>
        <w:rPr>
          <w:rFonts w:ascii="Times New Roman" w:hAnsi="Times New Roman"/>
          <w:color w:val="000000"/>
          <w:sz w:val="20"/>
        </w:rPr>
        <w:t xml:space="preserve"> </w:t>
      </w:r>
      <w:r>
        <w:rPr>
          <w:rFonts w:ascii="Times New Roman" w:hAnsi="Times New Roman"/>
          <w:b w:val="false"/>
          <w:color w:val="000000"/>
          <w:sz w:val="20"/>
        </w:rPr>
        <w:t>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 Stock-Based Compensation, continued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18,741</w:t>
      </w:r>
      <w:r>
        <w:rPr>
          <w:rFonts w:ascii="Times New Roman" w:hAnsi="Times New Roman"/>
          <w:color w:val="000000"/>
          <w:sz w:val="20"/>
        </w:rPr>
        <w:t xml:space="preserve"> </w:t>
      </w:r>
      <w:r>
        <w:rPr>
          <w:rFonts w:ascii="Times New Roman" w:hAnsi="Times New Roman"/>
          <w:b w:val="false"/>
          <w:color w:val="000000"/>
          <w:sz w:val="20"/>
        </w:rPr>
        <w:t>shares of common stock remain eligible to be issued under the ESPP. Employees contributed $3,493</w:t>
      </w:r>
      <w:r>
        <w:rPr>
          <w:rFonts w:ascii="Times New Roman" w:hAnsi="Times New Roman"/>
          <w:color w:val="000000"/>
          <w:sz w:val="20"/>
        </w:rPr>
        <w:t xml:space="preserve"> </w:t>
      </w:r>
      <w:r>
        <w:rPr>
          <w:rFonts w:ascii="Times New Roman" w:hAnsi="Times New Roman"/>
          <w:b w:val="false"/>
          <w:color w:val="000000"/>
          <w:sz w:val="20"/>
        </w:rPr>
        <w:t>through payroll withholdings to the ESPP as of September 30, 2023 for the current offering period which ends on December 31, 2023 with shares deemed delivered on that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February 2022, the Board granted our Chief Executive Officer 15,000</w:t>
      </w:r>
      <w:r>
        <w:rPr>
          <w:rFonts w:ascii="Times New Roman" w:hAnsi="Times New Roman"/>
          <w:color w:val="000000"/>
          <w:sz w:val="20"/>
        </w:rPr>
        <w:t xml:space="preserve"> </w:t>
      </w:r>
      <w:r>
        <w:rPr>
          <w:rFonts w:ascii="Times New Roman" w:hAnsi="Times New Roman"/>
          <w:b w:val="false"/>
          <w:color w:val="000000"/>
          <w:sz w:val="20"/>
        </w:rPr>
        <w:t>stock options under the 2013 Equity Incentive Plan at an exercise price of $25.40</w:t>
      </w:r>
      <w:r>
        <w:rPr>
          <w:rFonts w:ascii="Times New Roman" w:hAnsi="Times New Roman"/>
          <w:color w:val="000000"/>
          <w:sz w:val="20"/>
        </w:rPr>
        <w:t xml:space="preserve"> </w:t>
      </w:r>
      <w:r>
        <w:rPr>
          <w:rFonts w:ascii="Times New Roman" w:hAnsi="Times New Roman"/>
          <w:b w:val="false"/>
          <w:color w:val="000000"/>
          <w:sz w:val="20"/>
        </w:rPr>
        <w:t>per share with half of the options vesting on the second anniversary of the vesting start date and a quarter of the options vesting on each of the two following anniversaries.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estimated the fair value of stock options granted during the second quarter of 2022 using the Black-Scholes option pricing model. No</w:t>
      </w:r>
      <w:r>
        <w:rPr>
          <w:rFonts w:ascii="Times New Roman" w:hAnsi="Times New Roman"/>
          <w:color w:val="000000"/>
          <w:sz w:val="20"/>
        </w:rPr>
        <w:t xml:space="preserve"> </w:t>
      </w:r>
      <w:r>
        <w:rPr>
          <w:rFonts w:ascii="Times New Roman" w:hAnsi="Times New Roman"/>
          <w:b w:val="false"/>
          <w:color w:val="000000"/>
          <w:sz w:val="20"/>
        </w:rPr>
        <w:t>stock options were granted during the nine months ended September 30, 2023. The fair values of stock options granted during the second quarter of 2022 were estimated using the following assumptions:</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1846"/>
        <w:gridCol w:w="146"/>
        <w:gridCol w:w="611"/>
        <w:gridCol w:w="1654"/>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price</w:t>
            </w:r>
          </w:p>
        </w:tc>
        <w:tc>
          <w:tcPr>
            <w:tcW w:w="146"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w:t>
            </w:r>
          </w:p>
        </w:tc>
        <w:tc>
          <w:tcPr>
            <w:tcW w:w="316"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6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c>
          <w:tcPr>
            <w:tcW w:w="16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c>
          <w:tcPr>
            <w:tcW w:w="16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life</w:t>
            </w:r>
          </w:p>
        </w:tc>
        <w:tc>
          <w:tcPr>
            <w:tcW w:w="146" w:type="dxa"/>
            <w:tcBorders/>
            <w:shd w:fill="CFF0FC" w:val="clear"/>
            <w:vAlign w:val="center"/>
          </w:tcPr>
          <w:p>
            <w:pPr>
              <w:pStyle w:val="TableContents"/>
              <w:bidi w:val="0"/>
              <w:spacing w:before="0" w:after="283"/>
              <w:jc w:val="left"/>
              <w:rPr/>
            </w:pPr>
            <w:r>
              <w:rPr/>
              <w:t> </w:t>
            </w:r>
          </w:p>
        </w:tc>
        <w:tc>
          <w:tcPr>
            <w:tcW w:w="226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5.6</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summary of the Company’s stock option activity during the nine months ended September 30, 2023:</w:t>
      </w:r>
    </w:p>
    <w:p>
      <w:pPr>
        <w:pStyle w:val="TextBody"/>
        <w:bidi w:val="0"/>
        <w:jc w:val="left"/>
        <w:rPr/>
      </w:pPr>
      <w:r>
        <w:rPr/>
        <w:t> </w:t>
      </w:r>
    </w:p>
    <w:tbl>
      <w:tblPr>
        <w:tblW w:w="7692" w:type="dxa"/>
        <w:jc w:val="left"/>
        <w:tblInd w:w="0" w:type="dxa"/>
        <w:tblLayout w:type="fixed"/>
        <w:tblCellMar>
          <w:top w:w="28" w:type="dxa"/>
          <w:left w:w="28" w:type="dxa"/>
          <w:bottom w:w="28" w:type="dxa"/>
          <w:right w:w="28" w:type="dxa"/>
        </w:tblCellMar>
      </w:tblPr>
      <w:tblGrid>
        <w:gridCol w:w="2986"/>
        <w:gridCol w:w="146"/>
        <w:gridCol w:w="157"/>
        <w:gridCol w:w="728"/>
        <w:gridCol w:w="166"/>
        <w:gridCol w:w="146"/>
        <w:gridCol w:w="214"/>
        <w:gridCol w:w="582"/>
        <w:gridCol w:w="146"/>
        <w:gridCol w:w="146"/>
        <w:gridCol w:w="255"/>
        <w:gridCol w:w="631"/>
        <w:gridCol w:w="146"/>
        <w:gridCol w:w="146"/>
        <w:gridCol w:w="340"/>
        <w:gridCol w:w="366"/>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January 1, 2023</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unamortized fair value of options was $169,700. The unamortized amount will be expensed over a weighted average period of 2.1</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PSUs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PSUs are grants that vest upon the achievement of certain performance goals. The goals are commonly related to the Company’s revenue and achievement of sales and marketing goals.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Stock-Based Compensation,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 July 20, 2022, the Board granted the Company’s Chief Executive Officer, Cesar Johnston, up to 14,350</w:t>
      </w:r>
      <w:r>
        <w:rPr>
          <w:rFonts w:ascii="Times New Roman" w:hAnsi="Times New Roman"/>
          <w:color w:val="000000"/>
          <w:sz w:val="20"/>
        </w:rPr>
        <w:t xml:space="preserve"> </w:t>
      </w:r>
      <w:r>
        <w:rPr>
          <w:rFonts w:ascii="Times New Roman" w:hAnsi="Times New Roman"/>
          <w:b w:val="false"/>
          <w:color w:val="000000"/>
          <w:sz w:val="20"/>
        </w:rPr>
        <w:t>PSUs under the Company’s 2015 Performance Share Unit Plan pursuant to the terms of Mr. Johnston’s offer letter with the Company (See Note 4 – Commitments and Contingencies). The up to 14,350</w:t>
      </w:r>
      <w:r>
        <w:rPr>
          <w:rFonts w:ascii="Times New Roman" w:hAnsi="Times New Roman"/>
          <w:color w:val="000000"/>
          <w:sz w:val="20"/>
        </w:rPr>
        <w:t xml:space="preserve"> </w:t>
      </w:r>
      <w:r>
        <w:rPr>
          <w:rFonts w:ascii="Times New Roman" w:hAnsi="Times New Roman"/>
          <w:b w:val="false"/>
          <w:color w:val="000000"/>
          <w:sz w:val="20"/>
        </w:rPr>
        <w:t>PSUs that have been approved shall vest as follows: (a) up to 9,350</w:t>
      </w:r>
      <w:r>
        <w:rPr>
          <w:rFonts w:ascii="Times New Roman" w:hAnsi="Times New Roman"/>
          <w:color w:val="000000"/>
          <w:sz w:val="20"/>
        </w:rPr>
        <w:t xml:space="preserve"> </w:t>
      </w:r>
      <w:r>
        <w:rPr>
          <w:rFonts w:ascii="Times New Roman" w:hAnsi="Times New Roman"/>
          <w:b w:val="false"/>
          <w:color w:val="000000"/>
          <w:sz w:val="20"/>
        </w:rPr>
        <w:t>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(b) up to an additional 2,500</w:t>
      </w:r>
      <w:r>
        <w:rPr>
          <w:rFonts w:ascii="Times New Roman" w:hAnsi="Times New Roman"/>
          <w:color w:val="000000"/>
          <w:sz w:val="20"/>
        </w:rPr>
        <w:t xml:space="preserve"> </w:t>
      </w:r>
      <w:r>
        <w:rPr>
          <w:rFonts w:ascii="Times New Roman" w:hAnsi="Times New Roman"/>
          <w:b w:val="false"/>
          <w:color w:val="000000"/>
          <w:sz w:val="20"/>
        </w:rPr>
        <w:t>PSU shares shall vest on December 31, 2023, subject to Mr. Johnston’s continued service as Chief Executive Officer and the achievement, to be determined in the Compensation Committee’s sole discretion, by Mr. Johnston of certain performance metrics determined and granted by the Board on May 17, 2023, and (c) up to an additional 2,500</w:t>
      </w:r>
      <w:r>
        <w:rPr>
          <w:rFonts w:ascii="Times New Roman" w:hAnsi="Times New Roman"/>
          <w:color w:val="000000"/>
          <w:sz w:val="20"/>
        </w:rPr>
        <w:t xml:space="preserve"> </w:t>
      </w:r>
      <w:r>
        <w:rPr>
          <w:rFonts w:ascii="Times New Roman" w:hAnsi="Times New Roman"/>
          <w:b w:val="false"/>
          <w:color w:val="000000"/>
          <w:sz w:val="20"/>
        </w:rPr>
        <w:t>PSU shares shall vest on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On December 31, 2022, 6,779</w:t>
      </w:r>
      <w:r>
        <w:rPr>
          <w:rFonts w:ascii="Times New Roman" w:hAnsi="Times New Roman"/>
          <w:color w:val="000000"/>
          <w:sz w:val="20"/>
        </w:rPr>
        <w:t xml:space="preserve"> </w:t>
      </w:r>
      <w:r>
        <w:rPr>
          <w:rFonts w:ascii="Times New Roman" w:hAnsi="Times New Roman"/>
          <w:b w:val="false"/>
          <w:color w:val="000000"/>
          <w:sz w:val="20"/>
        </w:rPr>
        <w:t>PSUs were achieved, vested and deemed delivered on that date. As of September 30, 2023, the performance criteria for the additional up to 2,500</w:t>
      </w:r>
      <w:r>
        <w:rPr>
          <w:rFonts w:ascii="Times New Roman" w:hAnsi="Times New Roman"/>
          <w:color w:val="000000"/>
          <w:sz w:val="20"/>
        </w:rPr>
        <w:t xml:space="preserve"> </w:t>
      </w:r>
      <w:r>
        <w:rPr>
          <w:rFonts w:ascii="Times New Roman" w:hAnsi="Times New Roman"/>
          <w:b w:val="false"/>
          <w:color w:val="000000"/>
          <w:sz w:val="20"/>
        </w:rPr>
        <w:t>PSUs that shall vest on December 31, 2024 had not been approved by the Board.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unamortized value of outstanding PSUs was $9,848. The unamortized amount will be expensed over a period of 0.3</w:t>
      </w:r>
      <w:r>
        <w:rPr>
          <w:rFonts w:ascii="Times New Roman" w:hAnsi="Times New Roman"/>
          <w:color w:val="000000"/>
          <w:sz w:val="20"/>
        </w:rPr>
        <w:t xml:space="preserve"> </w:t>
      </w:r>
      <w:r>
        <w:rPr>
          <w:rFonts w:ascii="Times New Roman" w:hAnsi="Times New Roman"/>
          <w:b w:val="false"/>
          <w:color w:val="000000"/>
          <w:sz w:val="20"/>
        </w:rPr>
        <w:t>years. A summary of the activity related to PSUs for the nine months ended September 30, 2023 is presented below:</w:t>
      </w:r>
    </w:p>
    <w:p>
      <w:pPr>
        <w:pStyle w:val="TextBody"/>
        <w:bidi w:val="0"/>
        <w:jc w:val="left"/>
        <w:rPr/>
      </w:pPr>
      <w:r>
        <w:rPr/>
        <w:t> </w:t>
      </w:r>
    </w:p>
    <w:tbl>
      <w:tblPr>
        <w:tblW w:w="5607" w:type="dxa"/>
        <w:jc w:val="left"/>
        <w:tblInd w:w="0" w:type="dxa"/>
        <w:tblLayout w:type="fixed"/>
        <w:tblCellMar>
          <w:top w:w="28" w:type="dxa"/>
          <w:left w:w="28" w:type="dxa"/>
          <w:bottom w:w="28" w:type="dxa"/>
          <w:right w:w="28" w:type="dxa"/>
        </w:tblCellMar>
      </w:tblPr>
      <w:tblGrid>
        <w:gridCol w:w="2986"/>
        <w:gridCol w:w="146"/>
        <w:gridCol w:w="146"/>
        <w:gridCol w:w="571"/>
        <w:gridCol w:w="146"/>
        <w:gridCol w:w="146"/>
        <w:gridCol w:w="397"/>
        <w:gridCol w:w="878"/>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 granted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Compensation Committee granted various employees RSUs covering 3,439</w:t>
      </w:r>
      <w:r>
        <w:rPr>
          <w:rFonts w:ascii="Times New Roman" w:hAnsi="Times New Roman"/>
          <w:color w:val="000000"/>
          <w:sz w:val="20"/>
        </w:rPr>
        <w:t xml:space="preserve"> </w:t>
      </w:r>
      <w:r>
        <w:rPr>
          <w:rFonts w:ascii="Times New Roman" w:hAnsi="Times New Roman"/>
          <w:b w:val="false"/>
          <w:color w:val="000000"/>
          <w:sz w:val="20"/>
        </w:rPr>
        <w:t>shares of common stock under the 2013 Equity Incentive Plan. The awards vest over five years.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Compensation Committee granted various non-employees RSUs covering 6,223</w:t>
      </w:r>
      <w:r>
        <w:rPr>
          <w:rFonts w:ascii="Times New Roman" w:hAnsi="Times New Roman"/>
          <w:color w:val="000000"/>
          <w:sz w:val="20"/>
        </w:rPr>
        <w:t xml:space="preserve"> </w:t>
      </w:r>
      <w:r>
        <w:rPr>
          <w:rFonts w:ascii="Times New Roman" w:hAnsi="Times New Roman"/>
          <w:b w:val="false"/>
          <w:color w:val="000000"/>
          <w:sz w:val="20"/>
        </w:rPr>
        <w:t>shares of common stock under the 2014 Non-Employee Equity Compensation Plan. The awards vest over terms ranging from one</w:t>
      </w:r>
      <w:r>
        <w:rPr>
          <w:rFonts w:ascii="Times New Roman" w:hAnsi="Times New Roman"/>
          <w:color w:val="000000"/>
          <w:sz w:val="20"/>
        </w:rPr>
        <w:t xml:space="preserve"> </w:t>
      </w:r>
      <w:r>
        <w:rPr>
          <w:rFonts w:ascii="Times New Roman" w:hAnsi="Times New Roman"/>
          <w:b w:val="false"/>
          <w:color w:val="000000"/>
          <w:sz w:val="20"/>
        </w:rPr>
        <w:t>to</w:t>
      </w:r>
      <w:r>
        <w:rPr>
          <w:rFonts w:ascii="Times New Roman" w:hAnsi="Times New Roman"/>
          <w:color w:val="000000"/>
          <w:sz w:val="20"/>
        </w:rPr>
        <w:t xml:space="preserve"> </w:t>
      </w:r>
      <w:r>
        <w:rPr>
          <w:rFonts w:ascii="Times New Roman" w:hAnsi="Times New Roman"/>
          <w:b w:val="false"/>
          <w:color w:val="000000"/>
          <w:sz w:val="20"/>
        </w:rPr>
        <w:t>four years.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nine months ended September 30, 2023, the Compensation Committee granted various employees RSUs covering 30,750</w:t>
      </w:r>
      <w:r>
        <w:rPr>
          <w:rFonts w:ascii="Times New Roman" w:hAnsi="Times New Roman"/>
          <w:color w:val="000000"/>
          <w:sz w:val="20"/>
        </w:rPr>
        <w:t xml:space="preserve"> </w:t>
      </w:r>
      <w:r>
        <w:rPr>
          <w:rFonts w:ascii="Times New Roman" w:hAnsi="Times New Roman"/>
          <w:b w:val="false"/>
          <w:color w:val="000000"/>
          <w:sz w:val="20"/>
        </w:rPr>
        <w:t>shares of common stock under the 2017 Equity Inducement Plan. The awards vest over four years.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unamortized fair value of the outstanding RSUs was $1,428,206. The unamortized amount will be expensed over a weighted average period of 1.9</w:t>
      </w:r>
      <w:r>
        <w:rPr>
          <w:rFonts w:ascii="Times New Roman" w:hAnsi="Times New Roman"/>
          <w:color w:val="000000"/>
          <w:sz w:val="20"/>
        </w:rPr>
        <w:t xml:space="preserve"> </w:t>
      </w:r>
      <w:r>
        <w:rPr>
          <w:rFonts w:ascii="Times New Roman" w:hAnsi="Times New Roman"/>
          <w:b w:val="false"/>
          <w:color w:val="000000"/>
          <w:sz w:val="20"/>
        </w:rPr>
        <w:t>years. A summary of the activity related to RSUs for the nine months ended September 30, 2023 is presented below:</w:t>
      </w:r>
    </w:p>
    <w:p>
      <w:pPr>
        <w:pStyle w:val="TextBody"/>
        <w:bidi w:val="0"/>
        <w:jc w:val="left"/>
        <w:rPr/>
      </w:pPr>
      <w:r>
        <w:rPr/>
        <w:t> </w:t>
      </w:r>
    </w:p>
    <w:tbl>
      <w:tblPr>
        <w:tblW w:w="5372" w:type="dxa"/>
        <w:jc w:val="left"/>
        <w:tblInd w:w="0" w:type="dxa"/>
        <w:tblLayout w:type="fixed"/>
        <w:tblCellMar>
          <w:top w:w="28" w:type="dxa"/>
          <w:left w:w="28" w:type="dxa"/>
          <w:bottom w:w="28" w:type="dxa"/>
          <w:right w:w="28" w:type="dxa"/>
        </w:tblCellMar>
      </w:tblPr>
      <w:tblGrid>
        <w:gridCol w:w="2986"/>
        <w:gridCol w:w="146"/>
        <w:gridCol w:w="146"/>
        <w:gridCol w:w="781"/>
        <w:gridCol w:w="166"/>
        <w:gridCol w:w="146"/>
        <w:gridCol w:w="218"/>
        <w:gridCol w:w="592"/>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32.67</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28.02</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32.26</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Stock-Based Compensation,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current offering period under the ESPP began on July 1, 2023 and will conclude on December 31, 2023. The recently completed offering period under the ESPP started on January 1, 2023 and concluded on June 30, 2023. During the year ended December 31, 2022, there were two offering periods. The first offering period began on January 1, 2022 and concluded on June 30, 2022. The second offering period began on July 1, 2022 and concluded on December 31,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weighted-average grant-date fair value of the purchase option for each designated share purchased under the ESPP was approximately $4.05</w:t>
      </w:r>
      <w:r>
        <w:rPr>
          <w:rFonts w:ascii="Times New Roman" w:hAnsi="Times New Roman"/>
          <w:color w:val="000000"/>
          <w:sz w:val="20"/>
        </w:rPr>
        <w:t xml:space="preserve"> </w:t>
      </w:r>
      <w:r>
        <w:rPr>
          <w:rFonts w:ascii="Times New Roman" w:hAnsi="Times New Roman"/>
          <w:b w:val="false"/>
          <w:color w:val="000000"/>
          <w:sz w:val="20"/>
        </w:rPr>
        <w:t>and $7.29</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$1,412</w:t>
      </w:r>
      <w:r>
        <w:rPr>
          <w:rFonts w:ascii="Times New Roman" w:hAnsi="Times New Roman"/>
          <w:color w:val="000000"/>
          <w:sz w:val="20"/>
        </w:rPr>
        <w:t xml:space="preserve"> </w:t>
      </w:r>
      <w:r>
        <w:rPr>
          <w:rFonts w:ascii="Times New Roman" w:hAnsi="Times New Roman"/>
          <w:b w:val="false"/>
          <w:color w:val="000000"/>
          <w:sz w:val="20"/>
        </w:rPr>
        <w:t>and $22,084</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The Company recognized compensation expense for the ESPP of $42,419</w:t>
      </w:r>
      <w:r>
        <w:rPr>
          <w:rFonts w:ascii="Times New Roman" w:hAnsi="Times New Roman"/>
          <w:color w:val="000000"/>
          <w:sz w:val="20"/>
        </w:rPr>
        <w:t xml:space="preserve"> </w:t>
      </w:r>
      <w:r>
        <w:rPr>
          <w:rFonts w:ascii="Times New Roman" w:hAnsi="Times New Roman"/>
          <w:b w:val="false"/>
          <w:color w:val="000000"/>
          <w:sz w:val="20"/>
        </w:rPr>
        <w:t>and $104,485</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estimated the fair value of ESPP purchase options granted during the nine months ended September 30, 2023 and 2022 using the Black-Scholes option pricing model. The fair values of ESPP purchase options granted were estimated using the following assumptions:</w:t>
      </w:r>
    </w:p>
    <w:p>
      <w:pPr>
        <w:pStyle w:val="TextBody"/>
        <w:bidi w:val="0"/>
        <w:jc w:val="left"/>
        <w:rPr/>
      </w:pPr>
      <w:r>
        <w:rPr/>
        <w:t> </w:t>
      </w:r>
    </w:p>
    <w:tbl>
      <w:tblPr>
        <w:tblW w:w="5875" w:type="dxa"/>
        <w:jc w:val="left"/>
        <w:tblInd w:w="0" w:type="dxa"/>
        <w:tblLayout w:type="fixed"/>
        <w:tblCellMar>
          <w:top w:w="28" w:type="dxa"/>
          <w:left w:w="28" w:type="dxa"/>
          <w:bottom w:w="28" w:type="dxa"/>
          <w:right w:w="28" w:type="dxa"/>
        </w:tblCellMar>
      </w:tblPr>
      <w:tblGrid>
        <w:gridCol w:w="1846"/>
        <w:gridCol w:w="146"/>
        <w:gridCol w:w="534"/>
        <w:gridCol w:w="771"/>
        <w:gridCol w:w="622"/>
        <w:gridCol w:w="335"/>
        <w:gridCol w:w="534"/>
        <w:gridCol w:w="771"/>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price</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$4.80-16.72</w:t>
            </w:r>
          </w:p>
        </w:tc>
        <w:tc>
          <w:tcPr>
            <w:tcW w:w="622"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$19.20-$25.00</w:t>
            </w:r>
          </w:p>
        </w:tc>
        <w:tc>
          <w:tcPr>
            <w:tcW w:w="316" w:type="dxa"/>
            <w:tcBorders/>
            <w:shd w:fill="CFF0FC"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6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35"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 - 67%</w:t>
            </w:r>
          </w:p>
        </w:tc>
        <w:tc>
          <w:tcPr>
            <w:tcW w:w="622"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 - 68%</w:t>
            </w:r>
          </w:p>
        </w:tc>
        <w:tc>
          <w:tcPr>
            <w:tcW w:w="316" w:type="dxa"/>
            <w:tcBorders/>
            <w:shd w:fill="CFF0FC"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 - 5.47%</w:t>
            </w:r>
          </w:p>
        </w:tc>
        <w:tc>
          <w:tcPr>
            <w:tcW w:w="622"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 - 2.52%</w:t>
            </w:r>
          </w:p>
        </w:tc>
        <w:tc>
          <w:tcPr>
            <w:tcW w:w="316" w:type="dxa"/>
            <w:tcBorders/>
            <w:shd w:fill="FFFFFF" w:val="clear"/>
            <w:vAlign w:val="center"/>
          </w:tcPr>
          <w:p>
            <w:pPr>
              <w:pStyle w:val="TableContents"/>
              <w:bidi w:val="0"/>
              <w:spacing w:before="0" w:after="283"/>
              <w:jc w:val="righ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life</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6</w:t>
            </w:r>
            <w:r>
              <w:rPr>
                <w:rFonts w:ascii="Times New Roman" w:hAnsi="Times New Roman"/>
                <w:color w:val="000000"/>
                <w:sz w:val="20"/>
              </w:rPr>
              <w:t> </w:t>
            </w:r>
            <w:r>
              <w:rPr>
                <w:rFonts w:ascii="Times New Roman" w:hAnsi="Times New Roman"/>
                <w:b w:val="false"/>
                <w:color w:val="000000"/>
                <w:sz w:val="20"/>
              </w:rPr>
              <w:t>months</w:t>
            </w:r>
          </w:p>
        </w:tc>
        <w:tc>
          <w:tcPr>
            <w:tcW w:w="622"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6</w:t>
            </w:r>
            <w:r>
              <w:rPr>
                <w:rFonts w:ascii="Times New Roman" w:hAnsi="Times New Roman"/>
                <w:color w:val="000000"/>
                <w:sz w:val="20"/>
              </w:rPr>
              <w:t> </w:t>
            </w:r>
            <w:r>
              <w:rPr>
                <w:rFonts w:ascii="Times New Roman" w:hAnsi="Times New Roman"/>
                <w:b w:val="false"/>
                <w:color w:val="000000"/>
                <w:sz w:val="20"/>
              </w:rPr>
              <w:t>months</w:t>
            </w:r>
          </w:p>
        </w:tc>
        <w:tc>
          <w:tcPr>
            <w:tcW w:w="31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tables summarize total stock-based compensation costs recognized for the three and nine months ended September 30, 2023 and 2022:</w:t>
      </w:r>
    </w:p>
    <w:p>
      <w:pPr>
        <w:pStyle w:val="TextBody"/>
        <w:bidi w:val="0"/>
        <w:jc w:val="left"/>
        <w:rPr/>
      </w:pPr>
      <w:r>
        <w:rPr/>
        <w:t> </w:t>
      </w:r>
    </w:p>
    <w:tbl>
      <w:tblPr>
        <w:tblW w:w="7153" w:type="dxa"/>
        <w:jc w:val="left"/>
        <w:tblInd w:w="0" w:type="dxa"/>
        <w:tblLayout w:type="fixed"/>
        <w:tblCellMar>
          <w:top w:w="28" w:type="dxa"/>
          <w:left w:w="28" w:type="dxa"/>
          <w:bottom w:w="28" w:type="dxa"/>
          <w:right w:w="28" w:type="dxa"/>
        </w:tblCellMar>
      </w:tblPr>
      <w:tblGrid>
        <w:gridCol w:w="1246"/>
        <w:gridCol w:w="146"/>
        <w:gridCol w:w="249"/>
        <w:gridCol w:w="921"/>
        <w:gridCol w:w="172"/>
        <w:gridCol w:w="172"/>
        <w:gridCol w:w="249"/>
        <w:gridCol w:w="921"/>
        <w:gridCol w:w="146"/>
        <w:gridCol w:w="146"/>
        <w:gridCol w:w="212"/>
        <w:gridCol w:w="938"/>
        <w:gridCol w:w="147"/>
        <w:gridCol w:w="147"/>
        <w:gridCol w:w="212"/>
        <w:gridCol w:w="938"/>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21,564</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63,989</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53,207</w:t>
            </w:r>
          </w:p>
        </w:tc>
        <w:tc>
          <w:tcPr>
            <w:tcW w:w="19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341,443</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1,273,380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1,933,301</w:t>
            </w:r>
          </w:p>
        </w:tc>
        <w:tc>
          <w:tcPr>
            <w:tcW w:w="19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4,488</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15,089</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67,922</w:t>
            </w:r>
          </w:p>
        </w:tc>
        <w:tc>
          <w:tcPr>
            <w:tcW w:w="19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ESPP</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42,419</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368,907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1,394,877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total amount of stock-based compensation was reflected within the statements of operations as:</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2311"/>
        <w:gridCol w:w="146"/>
        <w:gridCol w:w="249"/>
        <w:gridCol w:w="921"/>
        <w:gridCol w:w="172"/>
        <w:gridCol w:w="172"/>
        <w:gridCol w:w="249"/>
        <w:gridCol w:w="921"/>
        <w:gridCol w:w="146"/>
        <w:gridCol w:w="146"/>
        <w:gridCol w:w="212"/>
        <w:gridCol w:w="938"/>
        <w:gridCol w:w="147"/>
        <w:gridCol w:w="147"/>
        <w:gridCol w:w="212"/>
        <w:gridCol w:w="93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138,976</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557,767</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922,447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84,491</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292,850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344,478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145,440</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544,260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804,328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Severance expense</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368,907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1,394,877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 Warrant Liability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2023 Warrants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March 2023, the Company issued 412,500</w:t>
      </w:r>
      <w:r>
        <w:rPr>
          <w:rFonts w:ascii="Times New Roman" w:hAnsi="Times New Roman"/>
          <w:color w:val="000000"/>
          <w:sz w:val="20"/>
        </w:rPr>
        <w:t xml:space="preserve"> </w:t>
      </w:r>
      <w:r>
        <w:rPr>
          <w:rFonts w:ascii="Times New Roman" w:hAnsi="Times New Roman"/>
          <w:b w:val="false"/>
          <w:color w:val="000000"/>
          <w:sz w:val="20"/>
        </w:rPr>
        <w:t>warrants to purchase up to 412,500</w:t>
      </w:r>
      <w:r>
        <w:rPr>
          <w:rFonts w:ascii="Times New Roman" w:hAnsi="Times New Roman"/>
          <w:color w:val="000000"/>
          <w:sz w:val="20"/>
        </w:rPr>
        <w:t xml:space="preserve"> </w:t>
      </w:r>
      <w:r>
        <w:rPr>
          <w:rFonts w:ascii="Times New Roman" w:hAnsi="Times New Roman"/>
          <w:b w:val="false"/>
          <w:color w:val="000000"/>
          <w:sz w:val="20"/>
        </w:rPr>
        <w:t>shares of its common stock. The 2023 Warrants have a</w:t>
      </w:r>
      <w:r>
        <w:rPr>
          <w:rFonts w:ascii="Times New Roman" w:hAnsi="Times New Roman"/>
          <w:color w:val="000000"/>
          <w:sz w:val="20"/>
        </w:rPr>
        <w:t xml:space="preserve"> </w:t>
      </w:r>
      <w:r>
        <w:rPr>
          <w:rFonts w:ascii="Times New Roman" w:hAnsi="Times New Roman"/>
          <w:b w:val="false"/>
          <w:color w:val="000000"/>
          <w:sz w:val="20"/>
        </w:rPr>
        <w:t>six-year</w:t>
      </w:r>
      <w:r>
        <w:rPr>
          <w:rFonts w:ascii="Times New Roman" w:hAnsi="Times New Roman"/>
          <w:color w:val="000000"/>
          <w:sz w:val="20"/>
        </w:rPr>
        <w:t xml:space="preserve"> </w:t>
      </w:r>
      <w:r>
        <w:rPr>
          <w:rFonts w:ascii="Times New Roman" w:hAnsi="Times New Roman"/>
          <w:b w:val="false"/>
          <w:color w:val="000000"/>
          <w:sz w:val="20"/>
        </w:rPr>
        <w:t>term and were exercisable upon issuance on March 28, 2023. At issuance, each 2023 Warrant was exercisable for one</w:t>
      </w:r>
      <w:r>
        <w:rPr>
          <w:rFonts w:ascii="Times New Roman" w:hAnsi="Times New Roman"/>
          <w:color w:val="000000"/>
          <w:sz w:val="20"/>
        </w:rPr>
        <w:t xml:space="preserve"> </w:t>
      </w:r>
      <w:r>
        <w:rPr>
          <w:rFonts w:ascii="Times New Roman" w:hAnsi="Times New Roman"/>
          <w:b w:val="false"/>
          <w:color w:val="000000"/>
          <w:sz w:val="20"/>
        </w:rPr>
        <w:t>share of the Company’s common stock at a price of $8.00</w:t>
      </w:r>
      <w:r>
        <w:rPr>
          <w:rFonts w:ascii="Times New Roman" w:hAnsi="Times New Roman"/>
          <w:color w:val="000000"/>
          <w:sz w:val="20"/>
        </w:rPr>
        <w:t xml:space="preserve"> </w:t>
      </w:r>
      <w:r>
        <w:rPr>
          <w:rFonts w:ascii="Times New Roman" w:hAnsi="Times New Roman"/>
          <w:b w:val="false"/>
          <w:color w:val="000000"/>
          <w:sz w:val="20"/>
        </w:rPr>
        <w:t>per share. As of September 30, 2023, the exercise price of the 2023 Warrants was adjusted to $1.66</w:t>
      </w:r>
      <w:r>
        <w:rPr>
          <w:rFonts w:ascii="Times New Roman" w:hAnsi="Times New Roman"/>
          <w:color w:val="000000"/>
          <w:sz w:val="20"/>
        </w:rPr>
        <w:t xml:space="preserve"> </w:t>
      </w:r>
      <w:r>
        <w:rPr>
          <w:rFonts w:ascii="Times New Roman" w:hAnsi="Times New Roman"/>
          <w:b w:val="false"/>
          <w:color w:val="000000"/>
          <w:sz w:val="20"/>
        </w:rPr>
        <w:t>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the “Exercise Price”).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200" w:after="283"/>
        <w:jc w:val="left"/>
        <w:rPr/>
      </w:pPr>
      <w:r>
        <w:rPr/>
        <w:t> </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$3,135,000. As of September 30, 2023, all 2023 Warrants were outstanding. As of September 30, 2023, the fair value of the warrant liability was $450,000. The Company recorded a change in fair value of the warrant liability of $788,000</w:t>
      </w:r>
      <w:r>
        <w:rPr>
          <w:rFonts w:ascii="Times New Roman" w:hAnsi="Times New Roman"/>
          <w:color w:val="000000"/>
          <w:sz w:val="20"/>
        </w:rPr>
        <w:t xml:space="preserve"> </w:t>
      </w:r>
      <w:r>
        <w:rPr>
          <w:rFonts w:ascii="Times New Roman" w:hAnsi="Times New Roman"/>
          <w:b w:val="false"/>
          <w:color w:val="000000"/>
          <w:sz w:val="20"/>
        </w:rPr>
        <w:t>and $2,685,000</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Fair Value Measurements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information about the Company’s assets and liabilities that are measured at fair value on a recurring basis as of September 30, 2023 and December 31, 2022 and indicate the fair value hierarchy of the valuation inputs utilized to determine such fair value:</w:t>
      </w:r>
    </w:p>
    <w:p>
      <w:pPr>
        <w:pStyle w:val="TextBody"/>
        <w:bidi w:val="0"/>
        <w:jc w:val="left"/>
        <w:rPr/>
      </w:pPr>
      <w:r>
        <w:rPr/>
        <w:t> </w:t>
      </w:r>
    </w:p>
    <w:tbl>
      <w:tblPr>
        <w:tblW w:w="7700" w:type="dxa"/>
        <w:jc w:val="left"/>
        <w:tblInd w:w="0" w:type="dxa"/>
        <w:tblLayout w:type="fixed"/>
        <w:tblCellMar>
          <w:top w:w="28" w:type="dxa"/>
          <w:left w:w="28" w:type="dxa"/>
          <w:bottom w:w="28" w:type="dxa"/>
          <w:right w:w="28" w:type="dxa"/>
        </w:tblCellMar>
      </w:tblPr>
      <w:tblGrid>
        <w:gridCol w:w="2266"/>
        <w:gridCol w:w="146"/>
        <w:gridCol w:w="211"/>
        <w:gridCol w:w="1036"/>
        <w:gridCol w:w="146"/>
        <w:gridCol w:w="146"/>
        <w:gridCol w:w="354"/>
        <w:gridCol w:w="381"/>
        <w:gridCol w:w="146"/>
        <w:gridCol w:w="146"/>
        <w:gridCol w:w="211"/>
        <w:gridCol w:w="781"/>
        <w:gridCol w:w="146"/>
        <w:gridCol w:w="146"/>
        <w:gridCol w:w="211"/>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16,578,659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16,578,659</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450,000</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26,287,293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26,287,293</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 Fair Value Measurements,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There were no transfers among Level 1, Level 2, or Level 3 categories during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2023 Warrants</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key inputs into the Monte Carlo simulation model for the 2023 Warrants are as follows:</w:t>
      </w:r>
    </w:p>
    <w:p>
      <w:pPr>
        <w:pStyle w:val="TextBody"/>
        <w:bidi w:val="0"/>
        <w:jc w:val="left"/>
        <w:rPr/>
      </w:pPr>
      <w:r>
        <w:rPr/>
        <w:t> </w:t>
      </w:r>
    </w:p>
    <w:tbl>
      <w:tblPr>
        <w:tblW w:w="7852" w:type="dxa"/>
        <w:jc w:val="left"/>
        <w:tblInd w:w="0" w:type="dxa"/>
        <w:tblLayout w:type="fixed"/>
        <w:tblCellMar>
          <w:top w:w="28" w:type="dxa"/>
          <w:left w:w="28" w:type="dxa"/>
          <w:bottom w:w="28" w:type="dxa"/>
          <w:right w:w="28" w:type="dxa"/>
        </w:tblCellMar>
      </w:tblPr>
      <w:tblGrid>
        <w:gridCol w:w="1351"/>
        <w:gridCol w:w="146"/>
        <w:gridCol w:w="453"/>
        <w:gridCol w:w="1227"/>
        <w:gridCol w:w="271"/>
        <w:gridCol w:w="146"/>
        <w:gridCol w:w="472"/>
        <w:gridCol w:w="1043"/>
        <w:gridCol w:w="271"/>
        <w:gridCol w:w="146"/>
        <w:gridCol w:w="625"/>
        <w:gridCol w:w="1385"/>
        <w:gridCol w:w="31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March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June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September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 price</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316"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316"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(in years)</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pPr>
            <w:r>
              <w:rPr/>
              <w:t> </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316"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Volatility</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2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2"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pPr>
            <w:r>
              <w:rPr/>
              <w:t> </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decrease in the fair value of the 2023 Warrant liability was determined to be $788,000</w:t>
      </w:r>
      <w:r>
        <w:rPr>
          <w:rFonts w:ascii="Times New Roman" w:hAnsi="Times New Roman"/>
          <w:color w:val="000000"/>
          <w:sz w:val="20"/>
        </w:rPr>
        <w:t xml:space="preserve"> </w:t>
      </w:r>
      <w:r>
        <w:rPr>
          <w:rFonts w:ascii="Times New Roman" w:hAnsi="Times New Roman"/>
          <w:b w:val="false"/>
          <w:color w:val="000000"/>
          <w:sz w:val="20"/>
        </w:rPr>
        <w:t>and $2,685,000</w:t>
      </w:r>
      <w:r>
        <w:rPr>
          <w:rFonts w:ascii="Times New Roman" w:hAnsi="Times New Roman"/>
          <w:color w:val="000000"/>
          <w:sz w:val="20"/>
        </w:rPr>
        <w:t xml:space="preserve"> </w:t>
      </w:r>
      <w:r>
        <w:rPr>
          <w:rFonts w:ascii="Times New Roman" w:hAnsi="Times New Roman"/>
          <w:b w:val="false"/>
          <w:color w:val="000000"/>
          <w:sz w:val="20"/>
        </w:rPr>
        <w:t>during the three and nine months ended September 30, 2023, respectively (see Note 7 – Warrant Liability).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Related Party Transactions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Times New Roman" w:hAnsi="Times New Roman"/>
          <w:b w:val="false"/>
          <w:i/>
          <w:color w:val="000000"/>
          <w:sz w:val="20"/>
        </w:rPr>
        <w:t>Strategic Alliance Agreement</w:t>
      </w:r>
      <w:r>
        <w:rPr>
          <w:rFonts w:ascii="Times New Roman" w:hAnsi="Times New Roman"/>
          <w:b w:val="false"/>
          <w:color w:val="000000"/>
          <w:sz w:val="20"/>
        </w:rPr>
        <w:t>). On November 7, 2016 and June 28, 2017, the Company and Dialog entered into securities purchase agreements under which Dialog acquired a total of 86,985</w:t>
      </w:r>
      <w:r>
        <w:rPr>
          <w:rFonts w:ascii="Times New Roman" w:hAnsi="Times New Roman"/>
          <w:color w:val="000000"/>
          <w:sz w:val="20"/>
        </w:rPr>
        <w:t xml:space="preserve"> </w:t>
      </w:r>
      <w:r>
        <w:rPr>
          <w:rFonts w:ascii="Times New Roman" w:hAnsi="Times New Roman"/>
          <w:b w:val="false"/>
          <w:color w:val="000000"/>
          <w:sz w:val="20"/>
        </w:rPr>
        <w:t>shares and received warrants to purchase up to 70,878</w:t>
      </w:r>
      <w:r>
        <w:rPr>
          <w:rFonts w:ascii="Times New Roman" w:hAnsi="Times New Roman"/>
          <w:color w:val="000000"/>
          <w:sz w:val="20"/>
        </w:rPr>
        <w:t xml:space="preserve"> </w:t>
      </w:r>
      <w:r>
        <w:rPr>
          <w:rFonts w:ascii="Times New Roman" w:hAnsi="Times New Roman"/>
          <w:b w:val="false"/>
          <w:color w:val="000000"/>
          <w:sz w:val="20"/>
        </w:rPr>
        <w:t>shares. As of September 30, 2023, none</w:t>
      </w:r>
      <w:r>
        <w:rPr>
          <w:rFonts w:ascii="Times New Roman" w:hAnsi="Times New Roman"/>
          <w:color w:val="000000"/>
          <w:sz w:val="20"/>
        </w:rPr>
        <w:t xml:space="preserve"> </w:t>
      </w:r>
      <w:r>
        <w:rPr>
          <w:rFonts w:ascii="Times New Roman" w:hAnsi="Times New Roman"/>
          <w:b w:val="false"/>
          <w:color w:val="000000"/>
          <w:sz w:val="20"/>
        </w:rPr>
        <w:t>of the warrants remain outstanding. As of September 30, 2023, Dialog owns approximately 1.7% of the Company’s outstanding common shares. The Company did not record any revenue under the Alliance Agreement during the three or nine months ended September 30, 2023 and 2022. The Company incurred $0</w:t>
      </w:r>
      <w:r>
        <w:rPr>
          <w:rFonts w:ascii="Times New Roman" w:hAnsi="Times New Roman"/>
          <w:color w:val="000000"/>
          <w:sz w:val="20"/>
        </w:rPr>
        <w:t xml:space="preserve"> </w:t>
      </w:r>
      <w:r>
        <w:rPr>
          <w:rFonts w:ascii="Times New Roman" w:hAnsi="Times New Roman"/>
          <w:b w:val="false"/>
          <w:color w:val="000000"/>
          <w:sz w:val="20"/>
        </w:rPr>
        <w:t>and $124,055</w:t>
      </w:r>
      <w:r>
        <w:rPr>
          <w:rFonts w:ascii="Times New Roman" w:hAnsi="Times New Roman"/>
          <w:color w:val="000000"/>
          <w:sz w:val="20"/>
        </w:rPr>
        <w:t xml:space="preserve"> </w:t>
      </w:r>
      <w:r>
        <w:rPr>
          <w:rFonts w:ascii="Times New Roman" w:hAnsi="Times New Roman"/>
          <w:b w:val="false"/>
          <w:color w:val="000000"/>
          <w:sz w:val="20"/>
        </w:rPr>
        <w:t>in chip test development expense from Renesas Electronics Corporation, which acquired Dialog in August 2021 (“Renesas”), during the three and nine months ended September 30, 2023, respectively. The Company did not incur any expense from Renesas during the three and nine months ended September 30,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September 20, 2021, the Company was notified by Dialog that it was terminating the Alliance Agreement between the Company and Dialog.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 Customer Concentrations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Three</w:t>
      </w:r>
      <w:r>
        <w:rPr>
          <w:rFonts w:ascii="Times New Roman" w:hAnsi="Times New Roman"/>
          <w:color w:val="000000"/>
          <w:sz w:val="20"/>
        </w:rPr>
        <w:t xml:space="preserve"> </w:t>
      </w:r>
      <w:r>
        <w:rPr>
          <w:rFonts w:ascii="Times New Roman" w:hAnsi="Times New Roman"/>
          <w:b w:val="false"/>
          <w:color w:val="000000"/>
          <w:sz w:val="20"/>
        </w:rPr>
        <w:t>customers accounted for approximately 75% of the Company’s revenue for the three months ended September 30, 2023, and two</w:t>
      </w:r>
      <w:r>
        <w:rPr>
          <w:rFonts w:ascii="Times New Roman" w:hAnsi="Times New Roman"/>
          <w:color w:val="000000"/>
          <w:sz w:val="20"/>
        </w:rPr>
        <w:t xml:space="preserve"> </w:t>
      </w:r>
      <w:r>
        <w:rPr>
          <w:rFonts w:ascii="Times New Roman" w:hAnsi="Times New Roman"/>
          <w:b w:val="false"/>
          <w:color w:val="000000"/>
          <w:sz w:val="20"/>
        </w:rPr>
        <w:t>customers accounted for approximately 87% of the Company’s revenue for the three months ended September 30, 2022. Three</w:t>
      </w:r>
      <w:r>
        <w:rPr>
          <w:rFonts w:ascii="Times New Roman" w:hAnsi="Times New Roman"/>
          <w:color w:val="000000"/>
          <w:sz w:val="20"/>
        </w:rPr>
        <w:t xml:space="preserve"> </w:t>
      </w:r>
      <w:r>
        <w:rPr>
          <w:rFonts w:ascii="Times New Roman" w:hAnsi="Times New Roman"/>
          <w:b w:val="false"/>
          <w:color w:val="000000"/>
          <w:sz w:val="20"/>
        </w:rPr>
        <w:t>customers accounted for approximately 67% of the Company's revenue for the nine months ended September 30, 2023, and one</w:t>
      </w:r>
      <w:r>
        <w:rPr>
          <w:rFonts w:ascii="Times New Roman" w:hAnsi="Times New Roman"/>
          <w:color w:val="000000"/>
          <w:sz w:val="20"/>
        </w:rPr>
        <w:t xml:space="preserve"> </w:t>
      </w:r>
      <w:r>
        <w:rPr>
          <w:rFonts w:ascii="Times New Roman" w:hAnsi="Times New Roman"/>
          <w:b w:val="false"/>
          <w:color w:val="000000"/>
          <w:sz w:val="20"/>
        </w:rPr>
        <w:t>customer accounted for approximately 46% of the Company's revenue for the nine months ended September 30, 2022. Three</w:t>
      </w:r>
      <w:r>
        <w:rPr>
          <w:rFonts w:ascii="Times New Roman" w:hAnsi="Times New Roman"/>
          <w:color w:val="000000"/>
          <w:sz w:val="20"/>
        </w:rPr>
        <w:t xml:space="preserve"> </w:t>
      </w:r>
      <w:r>
        <w:rPr>
          <w:rFonts w:ascii="Times New Roman" w:hAnsi="Times New Roman"/>
          <w:b w:val="false"/>
          <w:color w:val="000000"/>
          <w:sz w:val="20"/>
        </w:rPr>
        <w:t>customers accounted for approximately 93% of the Company’s accounts receivable balance as of September 30, 2023. One</w:t>
      </w:r>
      <w:r>
        <w:rPr>
          <w:rFonts w:ascii="Times New Roman" w:hAnsi="Times New Roman"/>
          <w:color w:val="000000"/>
          <w:sz w:val="20"/>
        </w:rPr>
        <w:t xml:space="preserve"> </w:t>
      </w:r>
      <w:r>
        <w:rPr>
          <w:rFonts w:ascii="Times New Roman" w:hAnsi="Times New Roman"/>
          <w:b w:val="false"/>
          <w:color w:val="000000"/>
          <w:sz w:val="20"/>
        </w:rPr>
        <w:t>customer accounted for approximately 87% of the Company’s accounts receivable balance as of December 31, 2022.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 Subsequent Event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November 13, 2023, Cesar Johnston, the Company’s President and Chief Executive Officer, purchased 52,000</w:t>
      </w:r>
      <w:r>
        <w:rPr>
          <w:rFonts w:ascii="Times New Roman" w:hAnsi="Times New Roman"/>
          <w:color w:val="000000"/>
          <w:sz w:val="20"/>
        </w:rPr>
        <w:t xml:space="preserve"> </w:t>
      </w:r>
      <w:r>
        <w:rPr>
          <w:rFonts w:ascii="Times New Roman" w:hAnsi="Times New Roman"/>
          <w:b w:val="false"/>
          <w:color w:val="000000"/>
          <w:sz w:val="20"/>
        </w:rPr>
        <w:t>shares of the Company’s common stock at a purchase price of $1.82</w:t>
      </w:r>
      <w:r>
        <w:rPr>
          <w:rFonts w:ascii="Times New Roman" w:hAnsi="Times New Roman"/>
          <w:color w:val="000000"/>
          <w:sz w:val="20"/>
        </w:rPr>
        <w:t xml:space="preserve"> </w:t>
      </w:r>
      <w:r>
        <w:rPr>
          <w:rFonts w:ascii="Times New Roman" w:hAnsi="Times New Roman"/>
          <w:b w:val="false"/>
          <w:color w:val="000000"/>
          <w:sz w:val="20"/>
        </w:rPr>
        <w:t>per share pursuant to the Common Stock Purchase Agreement dated as of November 13, 2023 between the Company and Mr. Johnston.</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managements_discussion_analysis_f"/>
      <w:bookmarkEnd w:id="15"/>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and expectations for revenues, liquidity cash flows and financial performance, the anticipated results of our research and development efforts, the timing for receipt of required regulatory approvals and product launches;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International Data Corporation (IDC) August 2022 Market Forecast, the IoT market is forecasted to grow to approximately $1.1 trillion in spending by 2026. The initial IoT applications that we are targeting are in the area of RF tags, ESL and IoT sensors for the retail, industrial, healthcare and smart home/office markets.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are designed to support a myriad of wireless charging applications including Bluetooth tracking tags, IoT sensors, ESLs, beacons, stock management devices, security cameras, handheld devices, smart automation, wearables and hearables.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pStyle w:val="TextBody"/>
        <w:bidi w:val="0"/>
        <w:jc w:val="left"/>
        <w:rPr/>
      </w:pPr>
      <w:r>
        <w:rPr/>
        <w:t> </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Warrants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The liability will be re-measured at each balance sheet date until the warrants are exercised or expire.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Revenue Recognition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follow Accounting Standards Codification (“ASC”) 606, "Revenue from Contracts with Customers" (Topic 606).</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accordance with Topic 606, we recognize revenue using the following five-step approach:</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Identify the contract with a customer.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 the performance obligations in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Determine the transaction price of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Allocate the transaction price to the performance obligations in the contract.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Recognize revenue when or as performance obligations are satisfied.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record revenue associated with the sale of production-level systems once control over the product is transferred to the customer. We record the expense related to the sales of these systems as cost of revenue during the period delivered.</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Three Months Ended September 30, 2023 and 2022</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Revenue.</w:t>
      </w:r>
      <w:r>
        <w:rPr>
          <w:rFonts w:ascii="Times New Roman" w:hAnsi="Times New Roman"/>
          <w:color w:val="000000"/>
          <w:sz w:val="20"/>
        </w:rPr>
        <w:t xml:space="preserve"> </w:t>
      </w:r>
      <w:r>
        <w:rPr>
          <w:rFonts w:ascii="Times New Roman" w:hAnsi="Times New Roman"/>
          <w:b w:val="false"/>
          <w:color w:val="000000"/>
          <w:sz w:val="20"/>
        </w:rPr>
        <w:t>During the three months ended September 30, 2023 and 2022, we recorded revenue of $168,708 and $223,201, respectively. The decrease of $54,493 is primarily due to a decrease in production-level systems sales volume.</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 xml:space="preserve">Costs and Expenses and Loss from Operations. </w:t>
      </w:r>
      <w:r>
        <w:rPr>
          <w:rFonts w:ascii="Times New Roman" w:hAnsi="Times New Roman"/>
          <w:b w:val="false"/>
          <w:color w:val="000000"/>
          <w:sz w:val="20"/>
        </w:rPr>
        <w:t>Costs and expenses are made up of cost of revenue, research and development, sales and marketing, general and administrative and severance expense. Losses from operations for the three months ended September 30, 2023 and 2022 were $5,081,439 and $6,107,715, respectively.</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 xml:space="preserve">Cost of Revenue. </w:t>
      </w:r>
      <w:r>
        <w:rPr>
          <w:rFonts w:ascii="Times New Roman" w:hAnsi="Times New Roman"/>
          <w:b w:val="false"/>
          <w:color w:val="000000"/>
          <w:sz w:val="20"/>
        </w:rPr>
        <w:t>Cost of revenue was $48,394 and $420,060, respectively, for the three months ended September 30, 2023 and 2022. The decrease of $371,666 is primarily due to a decrease in sales volume of higher cost products and a decrease in lower of cost or net realizable value adjustment.</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 xml:space="preserve">Research and Development Costs. </w:t>
      </w:r>
      <w:r>
        <w:rPr>
          <w:rFonts w:ascii="Times New Roman" w:hAnsi="Times New Roman"/>
          <w:b w:val="false"/>
          <w:color w:val="000000"/>
          <w:sz w:val="20"/>
        </w:rPr>
        <w:t>Research and development costs were $2,460,123 and $2,885,830, respectively, for the three months ended September 30, 2023 and 2022. The decrease of $425,707 is primarily due to a $181,084 decrease in compensation, consisting of a $46,137 decrease in payroll costs and a $134,947 decrease in stock-based compensation, a $72,213 decrease in patent legal fees, a $41,627 decrease in chip design, engineering supplies and components, a $34,536 decrease in consulting and third party services expenses, a $25,229 decrease in shipping costs, a $22,275 decrease in recruiting fees, a $16,272 decrease in regulatory legal fees and a $13,835 decrease in computer software and support.</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 xml:space="preserve">Sales and Marketing Costs. </w:t>
      </w:r>
      <w:r>
        <w:rPr>
          <w:rFonts w:ascii="Times New Roman" w:hAnsi="Times New Roman"/>
          <w:b w:val="false"/>
          <w:color w:val="000000"/>
          <w:sz w:val="20"/>
        </w:rPr>
        <w:t>Sales and marketing costs for the three months ended September 30, 2023 and 2022 were $774,141 and $1,093,640, respectively. The decrease of $319,499 is primarily due to a $177,381 decrease in compensation, consisting of a $152,170 decrease in payroll costs and a $25,211 decrease in stock-based compensation, a $38,293 decrease in legal fees related to trademarks and customer contracts, a $28,223 decrease in engineering supplies used by the sales and marketing staff, a $25,925 decrease in travel costs, a $19,454 decrease in tradeshow expense, a $16,500 decrease in warranty expense, a $15,471 decrease in depreciation and a $12,500 decrease in bad debt expense, partially offset by a $37,395 increase in public relations, consulting and third party expenses.</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 xml:space="preserve">General and Administrative Expenses. </w:t>
      </w:r>
      <w:r>
        <w:rPr>
          <w:rFonts w:ascii="Times New Roman" w:hAnsi="Times New Roman"/>
          <w:b w:val="false"/>
          <w:color w:val="000000"/>
          <w:sz w:val="20"/>
        </w:rPr>
        <w:t>General and administrative costs for the three months ended September 30, 2023 and 2022 were $1,698,380 and $1,931,386, respectively. The decrease of $233,006 is primarily due to a $317,604 decrease in compensation, consisting of a $148,447 decrease in payroll costs and $169,157 decrease in stock-based compensation, a $54,567 decrease in insurance premiums, a $40,816 decrease in travel costs, a $27,712 decrease in supplies and general office expenses and a $15,311 decrease in training and subscriptions, partially offset by a $57,299 increase in general corporate legal fees, a $26,707 increase in stock registration and annual meeting costs and a $20,249 increase in accounting and audit fees.</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Severance expense.</w:t>
      </w:r>
      <w:r>
        <w:rPr>
          <w:rFonts w:ascii="Times New Roman" w:hAnsi="Times New Roman"/>
          <w:color w:val="000000"/>
          <w:sz w:val="20"/>
        </w:rPr>
        <w:t xml:space="preserve"> </w:t>
      </w:r>
      <w:r>
        <w:rPr>
          <w:rFonts w:ascii="Times New Roman" w:hAnsi="Times New Roman"/>
          <w:b w:val="false"/>
          <w:color w:val="000000"/>
          <w:sz w:val="20"/>
        </w:rPr>
        <w:t>Severance expense for the three months ended September 30, 2023 was $269,109, primarily relating to the termination of the former Acting Chief Financial Officer. Severance expense for the three months ended September 30, 2022 was $0.</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Change in fair value of warrant liability.</w:t>
      </w:r>
      <w:r>
        <w:rPr>
          <w:rFonts w:ascii="Times New Roman" w:hAnsi="Times New Roman"/>
          <w:color w:val="000000"/>
          <w:sz w:val="20"/>
        </w:rPr>
        <w:t xml:space="preserve"> </w:t>
      </w:r>
      <w:r>
        <w:rPr>
          <w:rFonts w:ascii="Times New Roman" w:hAnsi="Times New Roman"/>
          <w:b w:val="false"/>
          <w:color w:val="000000"/>
          <w:sz w:val="20"/>
        </w:rPr>
        <w:t>Other income resulting from the change in fair value of the warrant liability was $788,000 for the three months ended September 30, 2023. We did not have a warrant liability as of September 30, 2022.</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 xml:space="preserve">Interest Income. </w:t>
      </w:r>
      <w:r>
        <w:rPr>
          <w:rFonts w:ascii="Times New Roman" w:hAnsi="Times New Roman"/>
          <w:b w:val="false"/>
          <w:color w:val="000000"/>
          <w:sz w:val="20"/>
        </w:rPr>
        <w:t>Interest income for the three months ended September 30, 2023 was $178,845 as compared to interest income of $142,840 for the three months ended September 30, 2022. The increase of $36,005 is primarily due to higher savings interest rates.</w:t>
      </w:r>
      <w:r>
        <w:rPr>
          <w:rFonts w:ascii="Times New Roman" w:hAnsi="Times New Roman"/>
          <w:color w:val="000000"/>
          <w:sz w:val="20"/>
        </w:rPr>
        <w:t xml:space="preserve"> </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 xml:space="preserve">Net Loss. </w:t>
      </w:r>
      <w:r>
        <w:rPr>
          <w:rFonts w:ascii="Times New Roman" w:hAnsi="Times New Roman"/>
          <w:b w:val="false"/>
          <w:color w:val="000000"/>
          <w:sz w:val="20"/>
        </w:rPr>
        <w:t>As a result of the above, net loss for the three months ended September 30, 2023 was $4,114,594 as compared to $5,964,875 for the three 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Nine Months Ended September 30, 2023 and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Revenue.</w:t>
      </w:r>
      <w:r>
        <w:rPr>
          <w:rFonts w:ascii="Times New Roman" w:hAnsi="Times New Roman"/>
          <w:color w:val="000000"/>
          <w:sz w:val="20"/>
        </w:rPr>
        <w:t xml:space="preserve"> </w:t>
      </w:r>
      <w:r>
        <w:rPr>
          <w:rFonts w:ascii="Times New Roman" w:hAnsi="Times New Roman"/>
          <w:b w:val="false"/>
          <w:color w:val="000000"/>
          <w:sz w:val="20"/>
        </w:rPr>
        <w:t>During the nine months ended September 30, 2023 and 2022, we recorded revenue of $382,517 and $672,133, respectively. The decrease of $289,616 is primarily due to a decrease in production-level systems sales volume.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Costs and Expenses and Loss from Operations. </w:t>
      </w:r>
      <w:r>
        <w:rPr>
          <w:rFonts w:ascii="Times New Roman" w:hAnsi="Times New Roman"/>
          <w:b w:val="false"/>
          <w:color w:val="000000"/>
          <w:sz w:val="20"/>
        </w:rPr>
        <w:t>Costs and expenses are made up of cost of revenue, research and development, sales and marketing, general and administrative and severance expense. Losses from operations for the nine months ended September 30, 2023 and 2022 were $17,503,680 and $20,328,057,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Cost of Revenue. </w:t>
      </w:r>
      <w:r>
        <w:rPr>
          <w:rFonts w:ascii="Times New Roman" w:hAnsi="Times New Roman"/>
          <w:b w:val="false"/>
          <w:color w:val="000000"/>
          <w:sz w:val="20"/>
        </w:rPr>
        <w:t>Cost of revenue was $270,025 and $894,693, respectively, for the nine months ended September 30, 2023 and 2022. The decrease of $624,668 is primarily due to a decrease in sales volume and a decrease in adjustments to inventory to net realizable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Research and Development Costs. </w:t>
      </w:r>
      <w:r>
        <w:rPr>
          <w:rFonts w:ascii="Times New Roman" w:hAnsi="Times New Roman"/>
          <w:b w:val="false"/>
          <w:color w:val="000000"/>
          <w:sz w:val="20"/>
        </w:rPr>
        <w:t>Research and development costs were $8,418,779 and $9,622,886, respectively, for the nine months ended September 30, 2023 and 2022. The decrease of $1,204,107 is primarily due to a $365,193 decrease in compensation, consisting primarily of a $364,680 decrease in stock-based compensation from older awards becoming fully expensed prior to the current year, a $190,884 decrease in consulting and third party services expenses, a $171,425 decrease in recruiting fees, a $136,800 decrease in chip design, engineering supplies and components, a $97,139 decrease in patent legal fees, a $93,793 decrease in postage, a $69,761 decrease in regulatory testing and a $58,483 decrease in regulatory legal fees.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Sales and Marketing Costs. </w:t>
      </w:r>
      <w:r>
        <w:rPr>
          <w:rFonts w:ascii="Times New Roman" w:hAnsi="Times New Roman"/>
          <w:b w:val="false"/>
          <w:color w:val="000000"/>
          <w:sz w:val="20"/>
        </w:rPr>
        <w:t>Sales and marketing costs for the nine months ended September 30, 2023 and 2022 were $3,074,163 and $3,865,322, respectively. The decrease of $791,159 is primarily due to a $268,274 decrease in compensation, consisting of a $216,646 decrease in payroll costs and a $51,628 decrease in stock-based compensation, a $179,563 decrease in the cost of engineering supplies utilized by the sales and marketing staff, a $75,720 decrease in recruiting fees, a $66,432 decrease in depreciation, a $62,306 decrease in tradeshow expense, a $39,007 decrease in supplies and general office expenses, a $38,553 decrease in trademark and customer contract legal fees and a $23,452 decrease in public relations, consulting and third party services expenses, partially offset by a $24,514 increase in marketing and promotional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General and Administrative Expenses. </w:t>
      </w:r>
      <w:r>
        <w:rPr>
          <w:rFonts w:ascii="Times New Roman" w:hAnsi="Times New Roman"/>
          <w:b w:val="false"/>
          <w:color w:val="000000"/>
          <w:sz w:val="20"/>
        </w:rPr>
        <w:t>General and administrative costs for the nine months ended September 30, 2023 and 2022 were $5,763,811 and $5,983,845, respectively. The decrease of $220,034 is primarily due to a $465,678 decrease in compensation, consisting of a $205,610 decrease in payroll costs from lower executive bonus expense and a $260,068 decrease in stock-based compensation from older grants becoming fully expensed prior to the current year and the cancellation of grants in connection with the resignation of our former Acting Chief Financial Officer, a $151,444 decrease in recruiting fees, a $90,162 decrease in insurance premiums and a $53,776 decrease in training, dues and subscriptions, partially offset by a $337,103 increase in general corporate legal fees, a $100,402 increase in accounting and auditing fees, a $76,501 increase in investor relations, consulting and third party services expenses and a $44,330 increase in annual meeting expense.</w:t>
      </w:r>
      <w:r>
        <w:rPr>
          <w:rFonts w:ascii="Times New Roman" w:hAnsi="Times New Roman"/>
          <w:color w:val="000000"/>
          <w:sz w:val="20"/>
        </w:rPr>
        <w:t xml:space="preserve"> </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Severance expense.</w:t>
      </w:r>
      <w:r>
        <w:rPr>
          <w:rFonts w:ascii="Times New Roman" w:hAnsi="Times New Roman"/>
          <w:color w:val="000000"/>
          <w:sz w:val="20"/>
        </w:rPr>
        <w:t xml:space="preserve"> </w:t>
      </w:r>
      <w:r>
        <w:rPr>
          <w:rFonts w:ascii="Times New Roman" w:hAnsi="Times New Roman"/>
          <w:b w:val="false"/>
          <w:color w:val="000000"/>
          <w:sz w:val="20"/>
        </w:rPr>
        <w:t>Severance expense for the nine months ended September 30, 2023 was $359,419 relating to the resignation of our former Acting Chief Financial Officer, as well as the departure of six other employees. Severance expense for the nine months ended September 30, 2022 was $633,444 from the termination of the former Senior Vice President of Marketing and Business Development.</w:t>
      </w:r>
      <w:r>
        <w:rPr>
          <w:rFonts w:ascii="Times New Roman" w:hAnsi="Times New Roman"/>
          <w:color w:val="000000"/>
          <w:sz w:val="20"/>
        </w:rPr>
        <w:t xml:space="preserve"> </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Offering costs related to warrant liability.</w:t>
      </w:r>
      <w:r>
        <w:rPr>
          <w:rFonts w:ascii="Times New Roman" w:hAnsi="Times New Roman"/>
          <w:color w:val="000000"/>
          <w:sz w:val="20"/>
        </w:rPr>
        <w:t xml:space="preserve"> </w:t>
      </w:r>
      <w:r>
        <w:rPr>
          <w:rFonts w:ascii="Times New Roman" w:hAnsi="Times New Roman"/>
          <w:b w:val="false"/>
          <w:color w:val="000000"/>
          <w:sz w:val="20"/>
        </w:rPr>
        <w:t>Offering costs related to warrant liability were $591,670 for the nine months ended September 30, 2023. We did not have a warrant liability as of September 30, 2022.</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sz w:val="20"/>
        </w:rPr>
      </w:pPr>
      <w:r>
        <w:rPr>
          <w:rFonts w:ascii="Times New Roman" w:hAnsi="Times New Roman"/>
          <w:b w:val="false"/>
          <w:i/>
          <w:color w:val="000000"/>
          <w:sz w:val="20"/>
        </w:rPr>
        <w:t xml:space="preserve">Change in fair value of warrant liability. </w:t>
      </w:r>
      <w:r>
        <w:rPr>
          <w:rFonts w:ascii="Times New Roman" w:hAnsi="Times New Roman"/>
          <w:b w:val="false"/>
          <w:color w:val="000000"/>
          <w:sz w:val="20"/>
        </w:rPr>
        <w:t>Other income resulting from the change in fair value of the warrant liability was $2,685,000 for the nine months ended September 30, 2023. We did not have a warrant liability as of September 30,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Interest Income. </w:t>
      </w:r>
      <w:r>
        <w:rPr>
          <w:rFonts w:ascii="Times New Roman" w:hAnsi="Times New Roman"/>
          <w:b w:val="false"/>
          <w:color w:val="000000"/>
          <w:sz w:val="20"/>
        </w:rPr>
        <w:t>Interest income for the nine months ended September 30, 2023 was $648,083 as compared to interest income of $192,715 for the nine months ended September 30, 2022. The increase of $455,368 is primarily due to higher savings interest rates.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 xml:space="preserve">Net Loss. </w:t>
      </w:r>
      <w:r>
        <w:rPr>
          <w:rFonts w:ascii="Times New Roman" w:hAnsi="Times New Roman"/>
          <w:b w:val="false"/>
          <w:color w:val="000000"/>
          <w:sz w:val="20"/>
        </w:rPr>
        <w:t>As a result of the above, net loss for the nine months ended September 30, 2023 was $14,762,267 as compared to $20,135,342 for the nine months ended September 30, 2022.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we recorded revenue of $382,517 and $672,133, respectively. We incurred net losses of $14,762,267 and $20,135,342 for the nine months ended September 30, 2023 and 2022, respectively. Net cash used in operating activities was $15,916,294 and $18,838,453 for the nine months ended September 30, 2023 and 2022, respectively. We are currently meeting our liquidity requirements through the proceeds of securities offerings that raised net proceeds of $27,043,751 during 2021, $744,787 during 2022 and $6,234,740 during the first nine months of 2023, along with proceeds from contributions to the ESPP and payments received from customers.</w:t>
      </w:r>
    </w:p>
    <w:p>
      <w:pPr>
        <w:pStyle w:val="TextBody"/>
        <w:bidi w:val="0"/>
        <w:spacing w:before="210" w:after="283"/>
        <w:jc w:val="left"/>
        <w:rPr>
          <w:rFonts w:ascii="Times New Roman" w:hAnsi="Times New Roman"/>
          <w:b w:val="false"/>
          <w:color w:val="000000"/>
          <w:sz w:val="20"/>
        </w:rPr>
      </w:pPr>
      <w:r>
        <w:rPr>
          <w:rFonts w:ascii="Times New Roman" w:hAnsi="Times New Roman"/>
          <w:b w:val="false"/>
          <w:color w:val="000000"/>
          <w:sz w:val="20"/>
        </w:rPr>
        <w:t>We believe our cash on hand as of September 30, 2023, together with expected additional ATM financing during the fourth quarter of 2023, implementation of cost and expense reductions and anticipated revenues, will be sufficient to fund our operations through November 2024. Although we intend to continue our research and development activities, there can be no assurance that our available resources will be sufficient to enable us to generate revenues sufficient to sustain operations. Accordingly, we will likely continue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the Company will be required to make further cost and expense reductions or modifications to its on-going and strategic plans.</w:t>
      </w:r>
    </w:p>
    <w:p>
      <w:pPr>
        <w:pStyle w:val="TextBody"/>
        <w:bidi w:val="0"/>
        <w:spacing w:before="21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cash flows used in operating activities were $15,916,294, consisting of a net loss of $14,762,267, less adjustments to reconcile net loss to net cash used in operating activities aggregating $140,084 (principally stock-based compensation of $1,394,877, issuance costs allocated to warrant liability of $591,670, amortization of operating lease ROU assets of $547,939, inventory net realizable adjustment of $166,086 and depreciation and amortization expense of $137,772, partially offset by a decrease in fair value of the warrant liability of $2,685,000), a $533,685 decrease in operating lease liabilities, a $259,881 increase in net inventory, a $213,570 decrease in accrued severance expense, a $131,824 decrease in accounts payable, a $117,478 decrease in accrued expenses and a $68,702 increase in prepaid expenses and other current assets, partially offset by a $35,655 decrease in accounts receivable.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2022, cash flows used in operating activities were $18,838,453, consisting of a net loss of $20,135,342, less non-cash expenses aggregating $2,940,282 (principally stock-based compensation of $2,158,915, amortization of operating lease ROU assets of $550,372 and depreciation and amortization expense of $200,995), a $594,703 decrease in operating lease liabilities, a $395,405 decrease in accrued severance expense, a $312,174 decrease in accounts payable, a $230,368 increase in prepaid expenses and other current assets and a $164,426 increase in inventory, partially offset by a $42,477 increase in deferred revenue.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cash flows used in investing activities were $97,242 and $127,198, respectively. The cash used in investing activities for the nine months ended September 30, 2023 consisted primarily of the purchase of new testing equipment and website redesign. The cash used in investing activities for the nine months ended September 30, 2022 consisted of the purchase of new testing equipment and engineering software.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cash flows provided by financing activities were $6,304,902, which consisted of $3,557,549 in net proceeds from the sale of shares of our common stock in an at-the-market (“ATM”) offering, $2,677,191 in net proceeds from the issuance and sale of common stock and warrants, and $70,162 in proceeds from the ESPP. During the nine months ended September 30, 2022, cash flows provided by financing activities were $249,705, which consisted of entirely of proceeds from contributions to the ESPP.</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Furthermore, since we have no committed source of financing, there can be no assurance that we will be able to raise capital as and when we need it to continue our operations.</w:t>
      </w:r>
    </w:p>
    <w:p>
      <w:pPr>
        <w:pStyle w:val="TextBody"/>
        <w:bidi w:val="0"/>
        <w:jc w:val="left"/>
        <w:rPr/>
      </w:pPr>
      <w:r>
        <w:rPr/>
        <w:t> </w:t>
      </w:r>
    </w:p>
    <w:p>
      <w:pPr>
        <w:pStyle w:val="TextBody"/>
        <w:bidi w:val="0"/>
        <w:jc w:val="left"/>
        <w:rPr>
          <w:rFonts w:ascii="Times New Roman" w:hAnsi="Times New Roman"/>
          <w:b/>
          <w:color w:val="000000"/>
          <w:sz w:val="20"/>
        </w:rPr>
      </w:pPr>
      <w:bookmarkStart w:id="16" w:name="item_3_quantitative_qualitative_disclosu"/>
      <w:bookmarkEnd w:id="16"/>
      <w:r>
        <w:rPr>
          <w:rFonts w:ascii="Times New Roman" w:hAnsi="Times New Roman"/>
          <w:b/>
          <w:color w:val="000000"/>
          <w:sz w:val="20"/>
        </w:rPr>
        <w:t>Item 3. Quantitative and Qualitative Disclosure About Market Risk</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has been no material change in our exposure to market risk during the three months ended September 30, 2023. See "Quantitative and Qualitative Disclosures about Market Risk" in Part II, Item 7A of our Form 10-K for the year ended December 31, 2022 for a discussion of our exposure to market risk.</w:t>
      </w:r>
    </w:p>
    <w:p>
      <w:pPr>
        <w:pStyle w:val="TextBody"/>
        <w:bidi w:val="0"/>
        <w:spacing w:before="200" w:after="283"/>
        <w:jc w:val="left"/>
        <w:rPr>
          <w:rFonts w:ascii="Times New Roman" w:hAnsi="Times New Roman"/>
          <w:b/>
          <w:color w:val="000000"/>
          <w:sz w:val="20"/>
        </w:rPr>
      </w:pPr>
      <w:bookmarkStart w:id="17" w:name="item_4_controls_procedures"/>
      <w:bookmarkEnd w:id="17"/>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established disclosure controls and procedures to ensure that material information relating to us is made known to the officers who certify our financial reports and the Board.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their evaluation as of September 30, 2023, our principal executive and principal financial officers have concluded that these disclosure controls and procedures (as defined in Rules 13a-15(e) and 15d-15(e) under the Exchange Act) were effective as of September 30, 2023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pStyle w:val="TextBody"/>
        <w:bidi w:val="0"/>
        <w:spacing w:before="20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For the quarter ended September 30, 2023,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part_ii_or_information"/>
      <w:bookmarkEnd w:id="18"/>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9" w:name="item_1_legal_proceedings"/>
      <w:bookmarkEnd w:id="19"/>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pStyle w:val="TextBody"/>
        <w:bidi w:val="0"/>
        <w:spacing w:before="200" w:after="283"/>
        <w:jc w:val="left"/>
        <w:rPr>
          <w:rFonts w:ascii="Times New Roman" w:hAnsi="Times New Roman"/>
          <w:b/>
          <w:color w:val="000000"/>
          <w:sz w:val="20"/>
        </w:rPr>
      </w:pPr>
      <w:bookmarkStart w:id="20" w:name="item_1a_risk_factors"/>
      <w:bookmarkEnd w:id="20"/>
      <w:r>
        <w:rPr>
          <w:rFonts w:ascii="Times New Roman" w:hAnsi="Times New Roman"/>
          <w:b/>
          <w:color w:val="000000"/>
          <w:sz w:val="20"/>
        </w:rPr>
        <w:t>Item 1A. Risk Factors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Our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no history of generating meaningful product revenue, and we may never achieve or maintain profitability.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a limited operating history upon which investors may rely in evaluating our business and prospects. We have generated limited revenues to date, and as of September 30, 2023, we had an accumulated deficit of approximately $377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will need additional financings to achieve our long-term business plans, and there is no guarantee that it will be available on acceptable terms, or at all.</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not have sufficient funds to fully implement our long-term business plans.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the remaining effects of COVID-19, regional conflicts around the world, increases in inflation, fluctuating interest rates, disruptions to global supply chains, recent turmoil in the global banking sector, volatile global financial markets, the potential for government shutdowns and uncertainty regarding the federal budget and debt ceiling),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adversely affected by the effects of inflation.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Inflation has the potential to adversely affect our liquidity, business, financial condition and results of operations by increasing our overall cost structure. The U.S. capital markets have experienced and continue to experience extreme volatility and disruption. Inflation rates in the U.S. significantly increased in 2022 resulting in federal action to increase interest rates, adversely affecting capital markets activity. The existence of inflation in the economy has resulted in, and may continue to result in, higher interest 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 Additionally, because we purchase component parts from our suppliers, we may be adversely impacted by their inability to adequately mitigate inflationary, industry, or economic pressures.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Technology and Products</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not be able to develop all the features we seek to include in our technology.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all the features we are targeting, and our inability to do so may limit the appeal of our technology to consumers.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be unable to demonstrate the commercial feasibility of the full capability of our technology.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Expanding our business operations as we intend will impose new demands on our financial, technical, operational and management resources.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To date we have operated primarily in the research and development phase of our business. If we are successful in commercializing our product offerings,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managers and engineers could become more challenging and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If products incorporating our technology are launched commercially but do not achieve widespread market acceptance, we will not be able to generate the revenue necessary to support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Market acceptance of an RF-based charging system as a preferred method for charging electronic devices will be crucial to our success. The following factors, among others, may affect the level of market acceptance of our products: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price of products incorporating our technology relative to other products or competing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user perceptions of the convenience, safety, efficiency and benefits of our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effectiveness of sales and marketing efforts of our commercialization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support and rate of acceptance of our technology and solutions with our development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press and blog coverage, social media coverage, and other publicity factors that are not within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developments.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If we are unable to achieve or maintain market acceptance of our technology, and if related products do not win widespread market acceptance, our business will be significantly harmed.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As products incorporating our technology are launched commercially, we may experience seasonality or other unevenness in our financial results in consumer markets or a long and variable sales cycle in enterprise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strategy depends on our customers developing successful commercial products using our technology and selling them into the retail, industrial, healthcare and smart/home office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Laboratory conditions differ from field conditions, which could reduce the effectiveness of our technology under development or other future products. Failures to move from laboratory to the field effectively would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unpredictable ways. These conditions may significantly diminish the power received at the receiver or the effective range of the transmitter. The failure of products using our technology to meet the expectations of users in the field could harm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Safety concerns and legal action by private parties may affect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competitive position also depends on our ability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generate widespread awareness, acceptance and adoption by the consumer and enterprise markets of our technology under development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 a product that may be sold at an acceptable price point;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 new or enhanced technologies or features that improve the convenience, efficiency, safety or perceived safety, and productivity of our technology under development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properly identify customer needs and deliver new products or product enhancements to address those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 the time required from proof of feasibility to routine production;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 the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protect our inventions with patents or otherwise develop proprietary products and processes;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secure sufficient capital resources to expand both our continued research and development, and sales and marketing efforts.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If our technology does not compete well based on these or other factors, our business could be materially and adversely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 and Other Legal Risks</w:t>
      </w:r>
    </w:p>
    <w:p>
      <w:pPr>
        <w:pStyle w:val="TextBody"/>
        <w:bidi w:val="0"/>
        <w:spacing w:before="200" w:after="283"/>
        <w:jc w:val="left"/>
        <w:rPr>
          <w:rFonts w:ascii="Times New Roman" w:hAnsi="Times New Roman"/>
          <w:sz w:val="20"/>
        </w:rPr>
      </w:pPr>
      <w:r>
        <w:rPr>
          <w:rFonts w:ascii="Times New Roman" w:hAnsi="Times New Roman"/>
          <w:b/>
          <w:i/>
          <w:color w:val="000000"/>
          <w:sz w:val="20"/>
        </w:rPr>
        <w:t>It is difficult and costly to protect our intellectual property and our proprietary technologies, and we may not be able to ensure their protection.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We depend upon a combination of patent, trade secrets, copyright and trademark laws to protect our intellectual property and technology.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patent infringement or other intellectual property lawsuits that could be costly to defend.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have currently and may in the future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could become subject to product liability claims, product recalls, and warranty claims that could be expensive, divert management’s attention and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is subject to data security risks, including security breaches.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not able to secure advantageous license agreements for our technology, our business and results of operations will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Regulation of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Domestic and international regulators may deny approval for our technology, and future legislative or regulatory changes may impair our business.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charging technology involves power transmission using RF energy, which is subject to regulation by the Federal Communications Commission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Personnel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highly dependent on key members of our executive management team. Our inability to retain these individuals could impede our business plan and growth strategies, which could have a negative impact on our business and the value of your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success and growth depend on our ability to attract, integrate and retain high-level engineering talent.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subject to risks associated with our utilization of engineering consultants.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could make our common stock less attractive to investors.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pStyle w:val="TextBody"/>
        <w:bidi w:val="0"/>
        <w:spacing w:before="200" w:after="283"/>
        <w:jc w:val="left"/>
        <w:rPr>
          <w:rFonts w:ascii="Times New Roman" w:hAnsi="Times New Roman"/>
          <w:sz w:val="20"/>
        </w:rPr>
      </w:pPr>
      <w:r>
        <w:rPr>
          <w:rFonts w:ascii="Times New Roman" w:hAnsi="Times New Roman"/>
          <w:b/>
          <w:i/>
          <w:color w:val="000000"/>
          <w:sz w:val="20"/>
        </w:rPr>
        <w:t>If we are unable to maintain effective internal control over financial reporting, investors may lose confidence in the accuracy of our financial reports.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a public company, we are required to maintain internal control over financial reporting and to report any material weaknesses in such internal controls. Although our management has determined that our internal control over financial reporting was effective as of September 30, 2023, we cannot assure you that we will not identify any material weakness in our internal control in the future.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You might lose all or part of your investment.</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Investing in our common stock involves a high degree of risk. As an investor, you might never recoup all, or even part of, your investment and you may never realize any return on your investment. You must be prepared to lose all your investment.</w:t>
      </w:r>
    </w:p>
    <w:p>
      <w:pPr>
        <w:pStyle w:val="TextBody"/>
        <w:bidi w:val="0"/>
        <w:spacing w:before="200" w:after="283"/>
        <w:jc w:val="left"/>
        <w:rPr>
          <w:rFonts w:ascii="Times New Roman" w:hAnsi="Times New Roman"/>
          <w:sz w:val="20"/>
        </w:rPr>
      </w:pPr>
      <w:r>
        <w:rPr>
          <w:rFonts w:ascii="Times New Roman" w:hAnsi="Times New Roman"/>
          <w:b/>
          <w:i/>
          <w:color w:val="000000"/>
          <w:sz w:val="20"/>
        </w:rPr>
        <w:t>Our stock price is likely to continue to be volatile.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market price of our common stock has fluctuated significantly since our initial public offering in 2014. The price of our common stock is likely to continue to fluctuate significantly in response to many factors that are beyond our control,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variations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macroeconomic, political, industry and market conditions, including increases in inflation, fluctuating interest rates, volatile global financial markets, the potential of government shutdowns and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uncertainty regarding the federal budget and debt ceiling, disruptions to global supply chains, and perceptions of future economic growth prospects in the economy at large;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recent turmoil in the global banking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regional conflicts around the world, 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natural disasters and other calamities, including global pandemics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economic performance and/or market valuations of other technology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announcements of significant strategic partnerships, regulatory developments and other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announcements by other companies in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articles published or rumors circulated by third parties regarding our business, technology or development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additions or departures of key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or other transactions involving our capital stock.</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not paid dividends in the past and have no immediate plans to pay dividends.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expect to continue to incur significant costs as a result of being a public reporting company and our management will be required to devote substantial time to meet our compliance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use Federal net operating loss carry forwards to reduce future tax payments may be limited if our taxable income does not reach sufficient levels.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of December 31, 2022, we had Federal net operating loss (“NOL”) carry forwards of approximately $273,056,000.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September 30, 2023, based on our history of operating losses it is possible that a portion of our NOLs will not be fully realizable.</w:t>
      </w:r>
    </w:p>
    <w:p>
      <w:pPr>
        <w:pStyle w:val="TextBody"/>
        <w:bidi w:val="0"/>
        <w:spacing w:before="200" w:after="283"/>
        <w:jc w:val="left"/>
        <w:rPr>
          <w:rFonts w:ascii="Times New Roman" w:hAnsi="Times New Roman"/>
          <w:sz w:val="20"/>
        </w:rPr>
      </w:pPr>
      <w:r>
        <w:rPr>
          <w:rFonts w:ascii="Times New Roman" w:hAnsi="Times New Roman"/>
          <w:b/>
          <w:i/>
          <w:color w:val="000000"/>
          <w:sz w:val="20"/>
        </w:rPr>
        <w:t>Our charter documents and Delaware law may inhibit a takeover that stockholders consider favorable.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Provisions of our certificate of incorporation and bylaws, and applicable Delaware law, may delay or discourage transactions involving an actual or potential change in control or change in our management, including</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transactions in which stockholders might otherwise receive a premium for their shares, or transactions that our stockholders might otherwise deem to be in their best interests. The provisions in our certificate of incorporation and bylaws: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do not permit stockholders to act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do not provide for cumulative voting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that all vacancies may be filled by the affirmative vote of a majority of directors then in office, even if less than a quorum.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warrants that are accounted for as liabilities and the changes in value of our warrants could have a material effect on the market price of our common stock or our financial results.</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account for the 2023 Warrants in accordance with the guidance contained in Accounting Standards Codification (“ASC”) 815, Derivatives and Hedging. Such guidance provides that, because the 2023 Warrants do not meet the criteria for equity treatment thereunder, each 2023 Warrants must be recorded as a liability. Accordingly, we classify each 2023 Warrants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the 2023 Warrants each reporting period and that the amount of such gains or losses could be material. The impact of changes in fair value on earnings may have an adverse effect on the market price of our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the requirements for continued listing on Nasdaq, our common stock will be subject to delisting. Our ability to publicly or privately sell equity securities and the liquidity of our common stock could be adversely affected if our common stock is delisted.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continued listing standards of Nasdaq require, among other things, that the minimum bid price of a listed company’s stock be at or above $1.00. If the closing minimum bid price is below $1.00 for a period of more than 30 consecutive trading days, the listed company will fail to be in compliance with Nasdaq’s listing rules and, if it does not regain compliance within the grace period, will be subject to delisting. As previously reported, on January 20, 2023, we received a notice from the Nasdaq Listing Qualifications Department notifying us that for 30 consecutive trading days, the bid price of our common stock had closed below the minimum $1.00 per share requirement. In accordance with Nasdaq’s listing rules, we were afforded a grace period of 180 calendar days, or until July 19, 2023, to regain compliance with the bid price requirement. In order to regain compliance, the bid price of our common stock must close at a price of at least $1.00 per share for a minimum of 10 consecutive trading days.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July 20, 2023, Nasdaq notified us that we did not regain compliance by July 19, 2023, but that Nasdaq had granted us an additional 180-day period to regain compliance because we met the continued listing requirement for market value of publicly held shares and all other applicable Nasdaq listing requirements (other than the minimum closing bid price requirement) and we provided written notice to Nasdaq of our intention to cure the deficiency during the second compliance period by effecting a reverse stock split. On August 15, 2023, we executed a reverse stock split of our common stock at a ratio of 1-for-20. As a result of the reverse stock split, on August 30, 2023 we received notification from the Nasdaq Listing Qualifications Staff that we were in compliance with its minimum bid price requirement and the matter was closed.</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our common stock is delisted from Nasdaq and is not eligible for quotation or listing on another market or exchange, our common stock will be subject to “penny stock” rules and trading of our shares of common stock could be conducted only in the over-the-counter market or on an electronic bulletin board established for unlisted securities.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macroeconomic conditions, natural disasters or reduced technology spending could adversely affect our business, operating results,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business depends on the overall demand for our technology and on the economic health of our current and prospective customers. In addition, the purchase of our products is often discretionary and may involve a significant commitment of capital and other resources. Weak global and regional macroeconomic conditions, including labor shortages, supply chain disruptions, rising interest rates and inflation, low spending environments, geopolitical instability, warfare and uncertainty, weak economic conditions in certain regions or a reduction in technology spending regardless of macroeconomic conditions, including as a result of the remaining effects of COVID-19 and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and services to our existing customers, lower prices for our products, higher default rates among our current suppliers and customers and reduced sales to new or existing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has been recent turmoil in the global banking system. For example, on March 10, 2023, Silicon Valley Bank (“SVB”), was closed by the California Department of Financial Protection and Innovation, which appointed the Federal Deposit Insurance Corporation (“FDIC”), as receiver for SVB. Additionally, in May 2023, the FDIC took control of First Republic Bank (“First Republic”). While the FDIC has since stated that all depositors of SVB will be made whole and JPMorgan Chase &amp; Co. (“JPMorgan”) has since acquired a substantial amount of assets and certain liabilities of First Republic, there is no guarantee that the federal government would similarly guarantee all depositors in the event of future bank closures. While the Company does not have a banking relationship with SVB or First Republic, continued instability and turmoil in the global banking system may negatively impact us or our customers, including our customers’ ability to pay for our products, and adversely impact our business and financial condition. Moreover, such events, in addition to the global macroeconomic conditions discussed above, may cause further turbulence and uncertainty in the capital markets. Further deterioration of the global macroeconomic environment and any regulatory action taken in response thereto may adversely affect our business, operating results, and financial condition.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Further, 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Climate change could result in an increase in the frequency or severity of such natural disasters. For example, our corporate offices are located in California, a state that frequently experiences earthquakes, wildfires, heatwaves and droughts.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publish negative reports about our business, our stock price and trading volume could decline.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1" w:name="item_2_recent_sales_unregistered_securit"/>
      <w:bookmarkEnd w:id="21"/>
      <w:r>
        <w:rPr>
          <w:rFonts w:ascii="Times New Roman" w:hAnsi="Times New Roman"/>
          <w:b/>
          <w:color w:val="000000"/>
          <w:sz w:val="20"/>
        </w:rPr>
        <w:t>Item 2. Sales of Unregistered Securities; Use of Proceeds; and Issuer Purchases of Equity Securities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left"/>
        <w:rPr>
          <w:rFonts w:ascii="Times New Roman" w:hAnsi="Times New Roman"/>
          <w:b/>
          <w:color w:val="000000"/>
          <w:sz w:val="20"/>
        </w:rPr>
      </w:pPr>
      <w:bookmarkStart w:id="22" w:name="item_3_defaults_upon_senior_securities"/>
      <w:bookmarkEnd w:id="22"/>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left"/>
        <w:rPr>
          <w:rFonts w:ascii="Times New Roman" w:hAnsi="Times New Roman"/>
          <w:b/>
          <w:color w:val="000000"/>
          <w:sz w:val="20"/>
        </w:rPr>
      </w:pPr>
      <w:bookmarkStart w:id="23" w:name="item_4_mine_safety_disclosures"/>
      <w:bookmarkEnd w:id="23"/>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00" w:after="283"/>
        <w:jc w:val="left"/>
        <w:rPr>
          <w:rFonts w:ascii="Times New Roman" w:hAnsi="Times New Roman"/>
          <w:sz w:val="20"/>
        </w:rPr>
      </w:pPr>
      <w:bookmarkStart w:id="24" w:name="item_5_or_information"/>
      <w:bookmarkEnd w:id="24"/>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25" w:name="item_6_exhibits"/>
      <w:bookmarkEnd w:id="25"/>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exhibits required to be filed as a part of this report are listed in the Exhibit Index.</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exhibit_index"/>
      <w:bookmarkEnd w:id="26"/>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0"/>
        <w:gridCol w:w="146"/>
        <w:gridCol w:w="9259"/>
      </w:tblGrid>
      <w:tr>
        <w:trPr/>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9" w:type="dxa"/>
            <w:tcBorders/>
            <w:vAlign w:val="center"/>
          </w:tcPr>
          <w:p>
            <w:pPr>
              <w:pStyle w:val="TableContents"/>
              <w:bidi w:val="0"/>
              <w:spacing w:before="0" w:after="283"/>
              <w:jc w:val="left"/>
              <w:rPr>
                <w:sz w:val="4"/>
                <w:szCs w:val="4"/>
              </w:rPr>
            </w:pPr>
            <w:r>
              <w:rPr>
                <w:sz w:val="4"/>
                <w:szCs w:val="4"/>
              </w:rPr>
            </w:r>
          </w:p>
        </w:tc>
      </w:tr>
      <w:tr>
        <w:trPr/>
        <w:tc>
          <w:tcPr>
            <w:tcW w:w="800"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watt-ex10_1.htm">
              <w:r>
                <w:rPr>
                  <w:rStyle w:val="InternetLink"/>
                  <w:rFonts w:ascii="Times New Roman" w:hAnsi="Times New Roman"/>
                  <w:b w:val="false"/>
                  <w:color w:val="0000FF"/>
                  <w:sz w:val="20"/>
                  <w:u w:val="single"/>
                </w:rPr>
                <w:t>Letter Agreement by and between Energous Corporation and William Mannina, dated July 28, 2023, as amended as of August 14, 2023 (filed herewith)</w:t>
              </w:r>
            </w:hyperlink>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watt-ex31_1.htm">
              <w:r>
                <w:rPr>
                  <w:rStyle w:val="InternetLink"/>
                  <w:rFonts w:ascii="Times New Roman" w:hAnsi="Times New Roman"/>
                  <w:b w:val="false"/>
                  <w:color w:val="0000FF"/>
                  <w:sz w:val="20"/>
                  <w:u w:val="single"/>
                </w:rPr>
                <w:t>Certification of Periodic Report by Chief Executive Officer (principal executive officer) pursuant to Rule 13a-14(a)/15d-14a</w:t>
              </w:r>
            </w:hyperlink>
            <w:r>
              <w:rPr>
                <w:rFonts w:ascii="Times New Roman" w:hAnsi="Times New Roman"/>
                <w:color w:val="000000"/>
                <w:sz w:val="20"/>
              </w:rPr>
              <w:t xml:space="preserve"> </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watt-ex31_2.htm">
              <w:r>
                <w:rPr>
                  <w:rStyle w:val="InternetLink"/>
                  <w:rFonts w:ascii="Times New Roman" w:hAnsi="Times New Roman"/>
                  <w:b w:val="false"/>
                  <w:color w:val="0000FF"/>
                  <w:sz w:val="20"/>
                  <w:u w:val="single"/>
                </w:rPr>
                <w:t>Certification of Periodic Report by the Interim Chief Financial Officer (principal financial officer) pursuant to Rule 13a-14(a)/15d-14a</w:t>
              </w:r>
            </w:hyperlink>
            <w:hyperlink w:anchor="watt-ex31_2.htm">
              <w:r>
                <w:rPr>
                  <w:rStyle w:val="InternetLink"/>
                  <w:rFonts w:ascii="Times New Roman" w:hAnsi="Times New Roman"/>
                  <w:color w:val="0000FF"/>
                  <w:sz w:val="20"/>
                </w:rPr>
                <w:t xml:space="preserve"> </w:t>
              </w:r>
            </w:hyperlink>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hyperlink w:anchor="watt-ex32_1.htm">
              <w:r>
                <w:rPr>
                  <w:rStyle w:val="InternetLink"/>
                  <w:rFonts w:ascii="Times New Roman" w:hAnsi="Times New Roman"/>
                  <w:b w:val="false"/>
                  <w:color w:val="0000FF"/>
                  <w:sz w:val="20"/>
                  <w:u w:val="single"/>
                </w:rPr>
                <w:t>Certification of Periodic Report by Chief Executive Officer (principal executive officer) and the Acting Chief Financial Officer (principal financial officer) pursuant to U.S.C. Section 1350</w:t>
              </w:r>
            </w:hyperlink>
            <w:hyperlink w:anchor="watt-ex32_1.htm">
              <w:r>
                <w:rPr>
                  <w:rStyle w:val="InternetLink"/>
                  <w:rFonts w:ascii="Times New Roman" w:hAnsi="Times New Roman"/>
                  <w:color w:val="0000FF"/>
                  <w:sz w:val="20"/>
                </w:rPr>
                <w:t xml:space="preserve"> </w:t>
              </w:r>
            </w:hyperlink>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 (filed herewith)</w:t>
            </w:r>
          </w:p>
        </w:tc>
      </w:tr>
      <w:tr>
        <w:trPr/>
        <w:tc>
          <w:tcPr>
            <w:tcW w:w="8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25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r>
    </w:tbl>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This certification shall not be deemed “filed” for purposes of Section 18 of the Exchange Act or otherwise subject to the liability of that Section, nor shall it be deemed incorporated by reference into any filing under the Securities Act or the Exchange Act.</w:t>
      </w:r>
    </w:p>
    <w:p>
      <w:pPr>
        <w:pStyle w:val="TextBody"/>
        <w:bidi w:val="0"/>
        <w:jc w:val="both"/>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2206"/>
        <w:gridCol w:w="406"/>
        <w:gridCol w:w="189"/>
        <w:gridCol w:w="631"/>
        <w:gridCol w:w="382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5052" w:type="dxa"/>
            <w:gridSpan w:val="4"/>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ENERGOUS CORPORATION</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5052" w:type="dxa"/>
            <w:gridSpan w:val="4"/>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(Registrant)</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 </w:t>
            </w:r>
          </w:p>
        </w:tc>
        <w:tc>
          <w:tcPr>
            <w:tcW w:w="4457" w:type="dxa"/>
            <w:gridSpan w:val="2"/>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89" w:type="dxa"/>
            <w:tcBorders/>
            <w:vAlign w:val="center"/>
          </w:tcPr>
          <w:p>
            <w:pPr>
              <w:pStyle w:val="TableContents"/>
              <w:bidi w:val="0"/>
              <w:spacing w:before="0" w:after="283"/>
              <w:jc w:val="left"/>
              <w:rPr/>
            </w:pPr>
            <w:r>
              <w:rPr/>
              <w:t> </w:t>
            </w:r>
          </w:p>
        </w:tc>
        <w:tc>
          <w:tcPr>
            <w:tcW w:w="44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 Cesar Johnston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43" w:right="0" w:firstLine="4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8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Cesar Johnston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43" w:right="0" w:firstLine="4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8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0" w:right="0" w:firstLine="43"/>
              <w:jc w:val="left"/>
              <w:rPr/>
            </w:pPr>
            <w:r>
              <w:rPr/>
              <w:t> </w:t>
            </w:r>
          </w:p>
        </w:tc>
        <w:tc>
          <w:tcPr>
            <w:tcW w:w="631" w:type="dxa"/>
            <w:tcBorders/>
            <w:vAlign w:val="center"/>
          </w:tcPr>
          <w:p>
            <w:pPr>
              <w:pStyle w:val="TableContents"/>
              <w:bidi w:val="0"/>
              <w:spacing w:before="0" w:after="283"/>
              <w:ind w:left="43" w:right="0" w:firstLine="43"/>
              <w:jc w:val="left"/>
              <w:rPr/>
            </w:pPr>
            <w:r>
              <w:rPr/>
              <w:t> </w:t>
            </w:r>
          </w:p>
        </w:tc>
        <w:tc>
          <w:tcPr>
            <w:tcW w:w="3826"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(Principal Executive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4457" w:type="dxa"/>
            <w:gridSpan w:val="2"/>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89" w:type="dxa"/>
            <w:tcBorders/>
            <w:vAlign w:val="center"/>
          </w:tcPr>
          <w:p>
            <w:pPr>
              <w:pStyle w:val="TableContents"/>
              <w:bidi w:val="0"/>
              <w:spacing w:before="0" w:after="283"/>
              <w:jc w:val="left"/>
              <w:rPr/>
            </w:pPr>
            <w:r>
              <w:rPr/>
              <w:t> </w:t>
            </w:r>
          </w:p>
        </w:tc>
        <w:tc>
          <w:tcPr>
            <w:tcW w:w="44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 Susan Kim-van Dongen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43" w:right="0" w:firstLine="4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8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Susan Kim-van Dongen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43" w:right="0" w:firstLine="4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w:t>
            </w:r>
          </w:p>
        </w:tc>
        <w:tc>
          <w:tcPr>
            <w:tcW w:w="38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Interim Chief Financial Officer</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ind w:left="0" w:right="0" w:firstLine="43"/>
              <w:jc w:val="left"/>
              <w:rPr/>
            </w:pPr>
            <w:r>
              <w:rPr/>
              <w:t> </w:t>
            </w:r>
          </w:p>
        </w:tc>
        <w:tc>
          <w:tcPr>
            <w:tcW w:w="189" w:type="dxa"/>
            <w:tcBorders/>
            <w:vAlign w:val="center"/>
          </w:tcPr>
          <w:p>
            <w:pPr>
              <w:pStyle w:val="TableContents"/>
              <w:bidi w:val="0"/>
              <w:spacing w:before="0" w:after="283"/>
              <w:ind w:left="0" w:right="0" w:firstLine="43"/>
              <w:jc w:val="left"/>
              <w:rPr/>
            </w:pPr>
            <w:r>
              <w:rPr/>
              <w:t> </w:t>
            </w:r>
          </w:p>
        </w:tc>
        <w:tc>
          <w:tcPr>
            <w:tcW w:w="631" w:type="dxa"/>
            <w:tcBorders/>
            <w:vAlign w:val="center"/>
          </w:tcPr>
          <w:p>
            <w:pPr>
              <w:pStyle w:val="TableContents"/>
              <w:bidi w:val="0"/>
              <w:spacing w:before="0" w:after="283"/>
              <w:ind w:left="43" w:right="0" w:firstLine="43"/>
              <w:jc w:val="left"/>
              <w:rPr/>
            </w:pPr>
            <w:r>
              <w:rPr/>
              <w:t> </w:t>
            </w:r>
          </w:p>
        </w:tc>
        <w:tc>
          <w:tcPr>
            <w:tcW w:w="3826"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28" w:name="watt-ex10_1.htm"/>
      <w:bookmarkStart w:id="29" w:name="kswattex10_1"/>
      <w:bookmarkEnd w:id="28"/>
      <w:bookmarkEnd w:id="29"/>
      <w:r>
        <w:rPr/>
        <w:t> </w:t>
      </w:r>
      <w:r>
        <w:br w:type="page"/>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10.1</w:t>
      </w:r>
    </w:p>
    <w:p>
      <w:pPr>
        <w:pStyle w:val="TextBody"/>
        <w:bidi w:val="0"/>
        <w:spacing w:before="0" w:after="522"/>
        <w:jc w:val="center"/>
        <w:rPr>
          <w:rFonts w:ascii="Times New Roman" w:hAnsi="Times New Roman"/>
          <w:sz w:val="20"/>
        </w:rPr>
      </w:pPr>
      <w:r>
        <w:rPr>
          <w:rFonts w:ascii="Times New Roman" w:hAnsi="Times New Roman"/>
          <w:b w:val="false"/>
          <w:color w:val="000000"/>
          <w:sz w:val="24"/>
        </w:rPr>
        <w:t>July 27, 2023</w:t>
      </w:r>
      <w:r>
        <w:rPr>
          <w:rFonts w:ascii="Times New Roman" w:hAnsi="Times New Roman"/>
          <w:color w:val="000000"/>
          <w:sz w:val="20"/>
        </w:rPr>
        <w:t xml:space="preserve"> </w:t>
      </w:r>
    </w:p>
    <w:p>
      <w:pPr>
        <w:pStyle w:val="TextBody"/>
        <w:bidi w:val="0"/>
        <w:spacing w:before="0" w:after="252"/>
        <w:jc w:val="left"/>
        <w:rPr>
          <w:rFonts w:ascii="Times New Roman" w:hAnsi="Times New Roman"/>
          <w:sz w:val="20"/>
        </w:rPr>
      </w:pPr>
      <w:r>
        <w:rPr>
          <w:rFonts w:ascii="Times New Roman" w:hAnsi="Times New Roman"/>
          <w:b/>
          <w:i/>
          <w:color w:val="000000"/>
          <w:sz w:val="24"/>
        </w:rPr>
        <w:t>Via Email</w:t>
      </w:r>
      <w:r>
        <w:rPr>
          <w:rFonts w:ascii="Times New Roman" w:hAnsi="Times New Roman"/>
          <w:color w:val="000000"/>
          <w:sz w:val="20"/>
        </w:rPr>
        <w:t xml:space="preserve"> </w:t>
      </w:r>
    </w:p>
    <w:p>
      <w:pPr>
        <w:pStyle w:val="TextBody"/>
        <w:bidi w:val="0"/>
        <w:spacing w:before="0" w:after="292"/>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255"/>
        <w:jc w:val="left"/>
        <w:rPr>
          <w:rFonts w:ascii="Times New Roman" w:hAnsi="Times New Roman"/>
          <w:sz w:val="20"/>
        </w:rPr>
      </w:pPr>
      <w:r>
        <w:rPr>
          <w:rFonts w:ascii="Times New Roman" w:hAnsi="Times New Roman"/>
          <w:b w:val="false"/>
          <w:color w:val="000000"/>
          <w:sz w:val="24"/>
        </w:rPr>
        <w:t xml:space="preserve">Re: </w:t>
      </w:r>
      <w:r>
        <w:rPr>
          <w:rFonts w:ascii="Times New Roman" w:hAnsi="Times New Roman"/>
          <w:b w:val="false"/>
          <w:color w:val="000000"/>
          <w:sz w:val="24"/>
          <w:u w:val="single"/>
        </w:rPr>
        <w:t>Terms of Transition and Separation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Dear Bill:</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This letter confirms the agreement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b w:val="false"/>
          <w:color w:val="000000"/>
          <w:sz w:val="24"/>
        </w:rPr>
        <w:t>) between you and Energous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b w:val="false"/>
          <w:color w:val="000000"/>
          <w:sz w:val="24"/>
        </w:rPr>
        <w:t>) concerning the terms of your transition and separation from employment and offers you certain benefits to which you would not otherwise be entitled, conditioned upon your provision of a general release of claims and covenant not to sue now and upon the Separation Date (defined below) as provided herein. If you agree to the terms outlined herein, please sign and return this Agreement to me in the timeframe outlined below.</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jc w:val="both"/>
        <w:rPr/>
      </w:pPr>
      <w:r>
        <w:rPr>
          <w:rFonts w:ascii="Times New Roman" w:hAnsi="Times New Roman"/>
          <w:b w:val="false"/>
          <w:color w:val="000000"/>
          <w:sz w:val="24"/>
          <w:u w:val="single"/>
        </w:rPr>
        <w:t>Continued Employment; Other Release Consideration</w:t>
      </w:r>
      <w:r>
        <w:rPr>
          <w:rFonts w:ascii="Times New Roman" w:hAnsi="Times New Roman"/>
          <w:b w:val="false"/>
          <w:color w:val="000000"/>
          <w:sz w:val="24"/>
        </w:rPr>
        <w:t>: In exchange for your</w:t>
      </w:r>
    </w:p>
    <w:p>
      <w:pPr>
        <w:pStyle w:val="TextBody"/>
        <w:bidi w:val="0"/>
        <w:spacing w:before="0" w:after="261"/>
        <w:jc w:val="both"/>
        <w:rPr>
          <w:rFonts w:ascii="Times New Roman" w:hAnsi="Times New Roman"/>
          <w:sz w:val="20"/>
        </w:rPr>
      </w:pPr>
      <w:r>
        <w:rPr>
          <w:rFonts w:ascii="Times New Roman" w:hAnsi="Times New Roman"/>
          <w:b w:val="false"/>
          <w:color w:val="000000"/>
          <w:sz w:val="24"/>
        </w:rPr>
        <w:t>agreement to the general release and waiver of claims and covenant not to sue set forth below and your other promises herein, the Company agrees to continue your employment on the following terms: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pPr>
      <w:r>
        <w:rPr>
          <w:rFonts w:ascii="Times New Roman" w:hAnsi="Times New Roman"/>
          <w:b w:val="false"/>
          <w:color w:val="000000"/>
          <w:sz w:val="24"/>
          <w:u w:val="single"/>
        </w:rPr>
        <w:t>Separation Date; Transition Period and Services</w:t>
      </w:r>
      <w:r>
        <w:rPr>
          <w:rFonts w:ascii="Times New Roman" w:hAnsi="Times New Roman"/>
          <w:b w:val="false"/>
          <w:color w:val="000000"/>
          <w:sz w:val="24"/>
        </w:rPr>
        <w:t>: Your last day of</w:t>
      </w:r>
    </w:p>
    <w:p>
      <w:pPr>
        <w:pStyle w:val="TextBody"/>
        <w:bidi w:val="0"/>
        <w:spacing w:before="0" w:after="261"/>
        <w:jc w:val="both"/>
        <w:rPr>
          <w:rFonts w:ascii="Times New Roman" w:hAnsi="Times New Roman"/>
          <w:sz w:val="20"/>
        </w:rPr>
      </w:pPr>
      <w:r>
        <w:rPr>
          <w:rFonts w:ascii="Times New Roman" w:hAnsi="Times New Roman"/>
          <w:b w:val="false"/>
          <w:color w:val="000000"/>
          <w:sz w:val="24"/>
        </w:rPr>
        <w:t>employment with the Company will be August 16, 2023 (the “</w:t>
      </w:r>
      <w:r>
        <w:rPr>
          <w:rFonts w:ascii="Times New Roman" w:hAnsi="Times New Roman"/>
          <w:b/>
          <w:i/>
          <w:color w:val="000000"/>
          <w:sz w:val="24"/>
        </w:rPr>
        <w:t>Separation Date</w:t>
      </w:r>
      <w:r>
        <w:rPr>
          <w:rFonts w:ascii="Times New Roman" w:hAnsi="Times New Roman"/>
          <w:color w:val="000000"/>
          <w:sz w:val="20"/>
        </w:rPr>
        <w:t>”</w:t>
      </w:r>
      <w:r>
        <w:rPr>
          <w:rFonts w:ascii="Times New Roman" w:hAnsi="Times New Roman"/>
          <w:b w:val="false"/>
          <w:color w:val="000000"/>
          <w:sz w:val="24"/>
        </w:rPr>
        <w:t>). Between now and the Separation Date (the “</w:t>
      </w:r>
      <w:r>
        <w:rPr>
          <w:rFonts w:ascii="Times New Roman" w:hAnsi="Times New Roman"/>
          <w:b/>
          <w:i/>
          <w:color w:val="000000"/>
          <w:sz w:val="24"/>
        </w:rPr>
        <w:t>Transition Period</w:t>
      </w:r>
      <w:r>
        <w:rPr>
          <w:rFonts w:ascii="Times New Roman" w:hAnsi="Times New Roman"/>
          <w:color w:val="000000"/>
          <w:sz w:val="20"/>
        </w:rPr>
        <w:t>”</w:t>
      </w:r>
      <w:r>
        <w:rPr>
          <w:rFonts w:ascii="Times New Roman" w:hAnsi="Times New Roman"/>
          <w:b w:val="false"/>
          <w:color w:val="000000"/>
          <w:sz w:val="24"/>
        </w:rPr>
        <w:t>), you agree to carry out the duties and responsibilities of your position as directed principally by the Company’s executive leadership, including its interim CFO, and to provide other transition services as may reasonably be requested by the Company, including, without limitation, (i) transition of the responsibilities, duties, and knowledge relative to your position, and (ii) if requested by the Company, execution of the Company’s August 2023 10-Q financial statement, providing you shall not be required to sign the 2023 10-Q unless you believe the 10-Q and the required attestations are accurate (the “</w:t>
      </w:r>
      <w:r>
        <w:rPr>
          <w:rFonts w:ascii="Times New Roman" w:hAnsi="Times New Roman"/>
          <w:b/>
          <w:i/>
          <w:color w:val="000000"/>
          <w:sz w:val="24"/>
        </w:rPr>
        <w:t>Transition Services</w:t>
      </w:r>
      <w:r>
        <w:rPr>
          <w:rFonts w:ascii="Times New Roman" w:hAnsi="Times New Roman"/>
          <w:color w:val="000000"/>
          <w:sz w:val="20"/>
        </w:rPr>
        <w:t>”</w:t>
      </w:r>
      <w:r>
        <w:rPr>
          <w:rFonts w:ascii="Times New Roman" w:hAnsi="Times New Roman"/>
          <w:b w:val="false"/>
          <w:color w:val="000000"/>
          <w:sz w:val="24"/>
        </w:rPr>
        <w:t>). During the Transition Period, you will primarily work remotely and come into the Company’s San Jose, California headquarters only when and as requested by the new interim CFO. By signing below, you hereby resign, effective as of the Separation Date, from all officer positions of the Company that you may hold, including, without limitation, the position of Acting Chief Financial Officer of the Company.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pPr>
      <w:r>
        <w:rPr>
          <w:rFonts w:ascii="Times New Roman" w:hAnsi="Times New Roman"/>
          <w:b w:val="false"/>
          <w:color w:val="000000"/>
          <w:sz w:val="24"/>
          <w:u w:val="single"/>
        </w:rPr>
        <w:t>Compensation and Benefits</w:t>
      </w:r>
      <w:r>
        <w:rPr>
          <w:rFonts w:ascii="Times New Roman" w:hAnsi="Times New Roman"/>
          <w:b w:val="false"/>
          <w:color w:val="000000"/>
          <w:sz w:val="24"/>
        </w:rPr>
        <w:t>: During the Transition Period, the Company</w:t>
      </w:r>
    </w:p>
    <w:p>
      <w:pPr>
        <w:pStyle w:val="TextBody"/>
        <w:bidi w:val="0"/>
        <w:spacing w:before="0" w:after="261"/>
        <w:jc w:val="both"/>
        <w:rPr>
          <w:rFonts w:ascii="Times New Roman" w:hAnsi="Times New Roman"/>
          <w:sz w:val="20"/>
        </w:rPr>
      </w:pPr>
      <w:r>
        <w:rPr>
          <w:rFonts w:ascii="Times New Roman" w:hAnsi="Times New Roman"/>
          <w:b w:val="false"/>
          <w:color w:val="000000"/>
          <w:sz w:val="24"/>
        </w:rPr>
        <w:t>will continue to pay you your current base salary and you will continue to be eligible to participate in benefits customarily afforded to other employees, including participation in the Company- sponsored health benefits plan and continued vesting of options, to the fullest extent allowed by the governing plans, agreements, or policies.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pPr>
      <w:r>
        <w:rPr>
          <w:rFonts w:ascii="Times New Roman" w:hAnsi="Times New Roman"/>
          <w:b w:val="false"/>
          <w:color w:val="000000"/>
          <w:sz w:val="24"/>
          <w:u w:val="single"/>
        </w:rPr>
        <w:t>Separation Compensation</w:t>
      </w:r>
      <w:r>
        <w:rPr>
          <w:rFonts w:ascii="Times New Roman" w:hAnsi="Times New Roman"/>
          <w:b w:val="false"/>
          <w:color w:val="000000"/>
          <w:sz w:val="24"/>
        </w:rPr>
        <w:t>: Provided that you adequately provide the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2</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Transition Services, then in exchange for your agreement to the general release and waiver of claims and covenant not to sue in this Agreement and as</w:t>
      </w:r>
      <w:r>
        <w:rPr>
          <w:rFonts w:ascii="Times New Roman" w:hAnsi="Times New Roman"/>
          <w:color w:val="000000"/>
          <w:sz w:val="20"/>
          <w:u w:val="single"/>
        </w:rPr>
        <w:t xml:space="preserve"> </w:t>
      </w:r>
      <w:r>
        <w:rPr>
          <w:rFonts w:ascii="Times New Roman" w:hAnsi="Times New Roman"/>
          <w:b w:val="false"/>
          <w:color w:val="000000"/>
          <w:sz w:val="24"/>
        </w:rPr>
        <w:t>set forth in Exhibit A (the “</w:t>
      </w:r>
      <w:r>
        <w:rPr>
          <w:rFonts w:ascii="Times New Roman" w:hAnsi="Times New Roman"/>
          <w:b/>
          <w:i/>
          <w:color w:val="000000"/>
          <w:sz w:val="24"/>
        </w:rPr>
        <w:t>Second Release</w:t>
      </w:r>
      <w:r>
        <w:rPr>
          <w:rFonts w:ascii="Times New Roman" w:hAnsi="Times New Roman"/>
          <w:color w:val="000000"/>
          <w:sz w:val="20"/>
        </w:rPr>
        <w:t>”</w:t>
      </w:r>
      <w:r>
        <w:rPr>
          <w:rFonts w:ascii="Times New Roman" w:hAnsi="Times New Roman"/>
          <w:b w:val="false"/>
          <w:color w:val="000000"/>
          <w:sz w:val="24"/>
        </w:rPr>
        <w:t xml:space="preserve">), </w:t>
      </w:r>
      <w:r>
        <w:rPr>
          <w:rFonts w:ascii="Times New Roman" w:hAnsi="Times New Roman"/>
          <w:b w:val="false"/>
          <w:color w:val="000000"/>
          <w:sz w:val="24"/>
          <w:u w:val="single"/>
        </w:rPr>
        <w:t>to</w:t>
      </w:r>
      <w:r>
        <w:rPr>
          <w:rFonts w:ascii="Times New Roman" w:hAnsi="Times New Roman"/>
          <w:color w:val="000000"/>
          <w:sz w:val="20"/>
        </w:rPr>
        <w:t xml:space="preserve"> </w:t>
      </w:r>
      <w:r>
        <w:rPr>
          <w:rFonts w:ascii="Times New Roman" w:hAnsi="Times New Roman"/>
          <w:b w:val="false"/>
          <w:color w:val="000000"/>
          <w:sz w:val="24"/>
          <w:u w:val="single"/>
        </w:rPr>
        <w:t>be signed no earlier than the Separation Date,</w:t>
      </w:r>
      <w:r>
        <w:rPr>
          <w:rFonts w:ascii="Times New Roman" w:hAnsi="Times New Roman"/>
          <w:color w:val="000000"/>
          <w:sz w:val="20"/>
        </w:rPr>
        <w:t xml:space="preserve"> </w:t>
      </w:r>
      <w:r>
        <w:rPr>
          <w:rFonts w:ascii="Times New Roman" w:hAnsi="Times New Roman"/>
          <w:b w:val="false"/>
          <w:color w:val="000000"/>
          <w:sz w:val="24"/>
        </w:rPr>
        <w:t>and your other promises herein, the Company agrees as follows: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10000"/>
          <w:sz w:val="24"/>
        </w:rPr>
      </w:pPr>
      <w:r>
        <w:rPr>
          <w:rFonts w:ascii="Times New Roman" w:hAnsi="Times New Roman"/>
          <w:b w:val="false"/>
          <w:color w:val="010000"/>
          <w:sz w:val="24"/>
        </w:rPr>
        <w:t>i.</w:t>
      </w:r>
    </w:p>
    <w:p>
      <w:pPr>
        <w:pStyle w:val="TextBody"/>
        <w:bidi w:val="0"/>
        <w:jc w:val="right"/>
        <w:rPr/>
      </w:pPr>
      <w:r>
        <w:rPr>
          <w:rFonts w:ascii="Times New Roman" w:hAnsi="Times New Roman"/>
          <w:b w:val="false"/>
          <w:color w:val="000000"/>
          <w:sz w:val="24"/>
          <w:u w:val="single"/>
        </w:rPr>
        <w:t>Severance</w:t>
      </w:r>
      <w:r>
        <w:rPr>
          <w:rFonts w:ascii="Times New Roman" w:hAnsi="Times New Roman"/>
          <w:b w:val="false"/>
          <w:color w:val="000000"/>
          <w:sz w:val="24"/>
        </w:rPr>
        <w:t>: The Company agrees to pay you, in regular bi-weekly</w:t>
      </w:r>
    </w:p>
    <w:p>
      <w:pPr>
        <w:pStyle w:val="TextBody"/>
        <w:bidi w:val="0"/>
        <w:spacing w:before="0" w:after="261"/>
        <w:jc w:val="both"/>
        <w:rPr>
          <w:rFonts w:ascii="Times New Roman" w:hAnsi="Times New Roman"/>
          <w:sz w:val="20"/>
        </w:rPr>
      </w:pPr>
      <w:r>
        <w:rPr>
          <w:rFonts w:ascii="Times New Roman" w:hAnsi="Times New Roman"/>
          <w:b w:val="false"/>
          <w:color w:val="000000"/>
          <w:sz w:val="24"/>
        </w:rPr>
        <w:t>installments consistent with the Company’s regular payroll schedule, your regular base salary (as of the Separation Date, which base salary shall not be reduced from the base salary you are receiving on the date you sign this Agreement) for nine (9) months following the Separation Date. The first severance payment will commence on the Company’s first regularly payroll schedule following the Effective Date of the Second Release (as provided therein) (the “</w:t>
      </w:r>
      <w:r>
        <w:rPr>
          <w:rFonts w:ascii="Times New Roman" w:hAnsi="Times New Roman"/>
          <w:b/>
          <w:i/>
          <w:color w:val="000000"/>
          <w:sz w:val="24"/>
        </w:rPr>
        <w:t>First Severance Payment</w:t>
      </w:r>
      <w:r>
        <w:rPr>
          <w:rFonts w:ascii="Times New Roman" w:hAnsi="Times New Roman"/>
          <w:color w:val="000000"/>
          <w:sz w:val="20"/>
        </w:rPr>
        <w:t>”</w:t>
      </w:r>
      <w:r>
        <w:rPr>
          <w:rFonts w:ascii="Times New Roman" w:hAnsi="Times New Roman"/>
          <w:b w:val="false"/>
          <w:color w:val="000000"/>
          <w:sz w:val="24"/>
        </w:rPr>
        <w:t>), provided that, the First Severance Payment shall include any amounts that would otherwise have been payable to you during such time period between the Separation Date and First Severance Payment.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10000"/>
          <w:sz w:val="24"/>
        </w:rPr>
      </w:pPr>
      <w:r>
        <w:rPr>
          <w:rFonts w:ascii="Times New Roman" w:hAnsi="Times New Roman"/>
          <w:b w:val="false"/>
          <w:color w:val="010000"/>
          <w:sz w:val="24"/>
        </w:rPr>
        <w:t>ii.</w:t>
      </w:r>
    </w:p>
    <w:p>
      <w:pPr>
        <w:pStyle w:val="TextBody"/>
        <w:bidi w:val="0"/>
        <w:jc w:val="right"/>
        <w:rPr/>
      </w:pPr>
      <w:r>
        <w:rPr>
          <w:rFonts w:ascii="Times New Roman" w:hAnsi="Times New Roman"/>
          <w:b w:val="false"/>
          <w:color w:val="000000"/>
          <w:sz w:val="24"/>
          <w:u w:val="single"/>
        </w:rPr>
        <w:t>COBRA</w:t>
      </w:r>
      <w:r>
        <w:rPr>
          <w:rFonts w:ascii="Times New Roman" w:hAnsi="Times New Roman"/>
          <w:b w:val="false"/>
          <w:color w:val="000000"/>
          <w:sz w:val="24"/>
        </w:rPr>
        <w:t>: Upon your timely election to continue your existing health</w:t>
      </w:r>
    </w:p>
    <w:p>
      <w:pPr>
        <w:pStyle w:val="TextBody"/>
        <w:bidi w:val="0"/>
        <w:spacing w:before="0" w:after="261"/>
        <w:jc w:val="both"/>
        <w:rPr>
          <w:rFonts w:ascii="Times New Roman" w:hAnsi="Times New Roman"/>
          <w:sz w:val="20"/>
        </w:rPr>
      </w:pPr>
      <w:r>
        <w:rPr>
          <w:rFonts w:ascii="Times New Roman" w:hAnsi="Times New Roman"/>
          <w:b w:val="false"/>
          <w:color w:val="000000"/>
          <w:sz w:val="24"/>
        </w:rPr>
        <w:t>benefits under COBRA, and consistent with the terms of COBRA and the Company’s health insurance plan, the Company will pay the insurance premiums to continue your existing health benefits for nine (9) months following the Separation Date. You will remain responsible for, and must continue to pay, the portion of premiums, co-payments, etc. that you would have paid had your employment continued.</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10000"/>
          <w:sz w:val="24"/>
        </w:rPr>
      </w:pPr>
      <w:r>
        <w:rPr>
          <w:rFonts w:ascii="Times New Roman" w:hAnsi="Times New Roman"/>
          <w:b w:val="false"/>
          <w:color w:val="010000"/>
          <w:sz w:val="24"/>
        </w:rPr>
        <w:t>iii.</w:t>
      </w:r>
    </w:p>
    <w:p>
      <w:pPr>
        <w:pStyle w:val="TextBody"/>
        <w:bidi w:val="0"/>
        <w:jc w:val="right"/>
        <w:rPr/>
      </w:pPr>
      <w:r>
        <w:rPr>
          <w:rFonts w:ascii="Times New Roman" w:hAnsi="Times New Roman"/>
          <w:b w:val="false"/>
          <w:color w:val="000000"/>
          <w:sz w:val="24"/>
          <w:u w:val="single"/>
        </w:rPr>
        <w:t>Restricted Stock Unit Vesting Credit</w:t>
      </w:r>
      <w:r>
        <w:rPr>
          <w:rFonts w:ascii="Times New Roman" w:hAnsi="Times New Roman"/>
          <w:b w:val="false"/>
          <w:color w:val="000000"/>
          <w:sz w:val="24"/>
        </w:rPr>
        <w:t>: The Company will provide,</w:t>
      </w:r>
    </w:p>
    <w:p>
      <w:pPr>
        <w:pStyle w:val="TextBody"/>
        <w:bidi w:val="0"/>
        <w:spacing w:before="0" w:after="261"/>
        <w:jc w:val="both"/>
        <w:rPr>
          <w:rFonts w:ascii="Times New Roman" w:hAnsi="Times New Roman"/>
          <w:sz w:val="20"/>
        </w:rPr>
      </w:pPr>
      <w:r>
        <w:rPr>
          <w:rFonts w:ascii="Times New Roman" w:hAnsi="Times New Roman"/>
          <w:b w:val="false"/>
          <w:color w:val="000000"/>
          <w:sz w:val="24"/>
        </w:rPr>
        <w:t>and you will receive, additional restricted stock unit vesting credit, as described in Paragraph 5, below.</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10000"/>
          <w:sz w:val="24"/>
        </w:rPr>
      </w:pPr>
      <w:r>
        <w:rPr>
          <w:rFonts w:ascii="Times New Roman" w:hAnsi="Times New Roman"/>
          <w:b w:val="false"/>
          <w:color w:val="010000"/>
          <w:sz w:val="24"/>
        </w:rPr>
        <w:t>iv.</w:t>
      </w:r>
    </w:p>
    <w:p>
      <w:pPr>
        <w:pStyle w:val="TextBody"/>
        <w:bidi w:val="0"/>
        <w:jc w:val="right"/>
        <w:rPr/>
      </w:pPr>
      <w:r>
        <w:rPr>
          <w:rFonts w:ascii="Times New Roman" w:hAnsi="Times New Roman"/>
          <w:b w:val="false"/>
          <w:color w:val="000000"/>
          <w:sz w:val="24"/>
          <w:u w:val="single"/>
        </w:rPr>
        <w:t>Reimbursement of Attorneys’ Fees</w:t>
      </w:r>
      <w:r>
        <w:rPr>
          <w:rFonts w:ascii="Times New Roman" w:hAnsi="Times New Roman"/>
          <w:b w:val="false"/>
          <w:color w:val="000000"/>
          <w:sz w:val="24"/>
        </w:rPr>
        <w:t>: The Company will reimburse</w:t>
      </w:r>
    </w:p>
    <w:p>
      <w:pPr>
        <w:pStyle w:val="TextBody"/>
        <w:bidi w:val="0"/>
        <w:spacing w:before="0" w:after="261"/>
        <w:jc w:val="both"/>
        <w:rPr>
          <w:rFonts w:ascii="Times New Roman" w:hAnsi="Times New Roman"/>
          <w:sz w:val="20"/>
        </w:rPr>
      </w:pPr>
      <w:r>
        <w:rPr>
          <w:rFonts w:ascii="Times New Roman" w:hAnsi="Times New Roman"/>
          <w:b w:val="false"/>
          <w:color w:val="000000"/>
          <w:sz w:val="24"/>
        </w:rPr>
        <w:t>you up to Twenty-Five Thousand Dollars ($25,000) for reasonable legal fees incurred by you directly in connection with the negotiation and execution of this Agreement, through a payment to the Law Offices of Jotham S. Stein, P.C. (“</w:t>
      </w:r>
      <w:r>
        <w:rPr>
          <w:rFonts w:ascii="Times New Roman" w:hAnsi="Times New Roman"/>
          <w:b/>
          <w:i/>
          <w:color w:val="000000"/>
          <w:sz w:val="24"/>
        </w:rPr>
        <w:t>Stein</w:t>
      </w:r>
      <w:r>
        <w:rPr>
          <w:rFonts w:ascii="Times New Roman" w:hAnsi="Times New Roman"/>
          <w:color w:val="000000"/>
          <w:sz w:val="20"/>
        </w:rPr>
        <w:t>”</w:t>
      </w:r>
      <w:r>
        <w:rPr>
          <w:rFonts w:ascii="Times New Roman" w:hAnsi="Times New Roman"/>
          <w:b w:val="false"/>
          <w:color w:val="000000"/>
          <w:sz w:val="24"/>
        </w:rPr>
        <w:t>) and for which the Company will issue to you and to Stein an IRS form 1099-MISC in that amount. You agree to submit no later than ten (10) business days following the Effective Date of the Second Release (as defined therein) reasonable written proof of having incurred such fees, and the Company shall issue payment to Stein for such documented legal fees no later than ten (10) business days following receipt of such documentation.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By signing below, you acknowledge that you are receiving the release consideration outlined in this paragraph in consideration for waiving your rights to claims referred to in this Agreement (and the Second Release) and that you would not otherwise be entitled to the release consideration.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During the Transition Period, the Company shall not terminate your employment for any reason other than Cause. For purposes of this Agreement, “Cause” shall mean only (i) your conviction of a felony crime, (ii) your material breach of your Confidential Information and Inventions Assignment Agreement which causes material economic harm to the Company, or (iii)</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3</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your repeated and willful refusal to provide reasonable and legal Transition Services to the Company, providing that your employment may not be terminated for Cause under (ii) and (iii) above unless the Company first gives you written notice of all the facts why Cause exists and provides you at least fifteen (15) business days to cure the alleged facts giving rise to Cause, and further providing that if you cure, Cause shall not exist under the applicable subsection.</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jc w:val="both"/>
        <w:rPr/>
      </w:pPr>
      <w:r>
        <w:rPr>
          <w:rFonts w:ascii="Times New Roman" w:hAnsi="Times New Roman"/>
          <w:b w:val="false"/>
          <w:color w:val="000000"/>
          <w:sz w:val="24"/>
          <w:u w:val="single"/>
        </w:rPr>
        <w:t>Final Pay</w:t>
      </w:r>
      <w:r>
        <w:rPr>
          <w:rFonts w:ascii="Times New Roman" w:hAnsi="Times New Roman"/>
          <w:b w:val="false"/>
          <w:color w:val="000000"/>
          <w:sz w:val="24"/>
        </w:rPr>
        <w:t xml:space="preserve">: On or before the Separation Date, the Company will pay you for all wages, salary, bonuses, commissions, reimbursable expenses previously submitted by you, accrued vacation (if applicable) and any similar payments due you from the Company as of your separation from employment. By signing below, you acknowledge and agree that (a) you have received your H1 2023 management performance bonus in the amount approved by the Board, and </w:t>
      </w:r>
    </w:p>
    <w:p>
      <w:pPr>
        <w:pStyle w:val="TextBody"/>
        <w:bidi w:val="0"/>
        <w:spacing w:before="0" w:after="288"/>
        <w:jc w:val="left"/>
        <w:rPr>
          <w:rFonts w:ascii="Times New Roman" w:hAnsi="Times New Roman"/>
          <w:b w:val="false"/>
          <w:color w:val="000000"/>
          <w:sz w:val="22"/>
        </w:rPr>
      </w:pPr>
      <w:r>
        <w:rPr>
          <w:rFonts w:ascii="Times New Roman" w:hAnsi="Times New Roman"/>
          <w:b w:val="false"/>
          <w:color w:val="000000"/>
          <w:sz w:val="22"/>
        </w:rPr>
        <w:t>(b) the Company does not now, and will not in the future, owe you any other bonus payment or other variable compensation.</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61"/>
        <w:jc w:val="both"/>
        <w:rPr/>
      </w:pPr>
      <w:r>
        <w:rPr>
          <w:rFonts w:ascii="Times New Roman" w:hAnsi="Times New Roman"/>
          <w:b w:val="false"/>
          <w:color w:val="000000"/>
          <w:sz w:val="24"/>
          <w:u w:val="single"/>
        </w:rPr>
        <w:t>Return of Company Property</w:t>
      </w:r>
      <w:r>
        <w:rPr>
          <w:rFonts w:ascii="Times New Roman" w:hAnsi="Times New Roman"/>
          <w:b w:val="false"/>
          <w:color w:val="000000"/>
          <w:sz w:val="24"/>
        </w:rPr>
        <w:t xml:space="preserve">: You hereby warrant to the Company that, no later than the Separation Date, you will return to the Company all property or data of the Company of any type whatsoever that has been in your possession or control.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61"/>
        <w:jc w:val="both"/>
        <w:rPr/>
      </w:pPr>
      <w:r>
        <w:rPr>
          <w:rFonts w:ascii="Times New Roman" w:hAnsi="Times New Roman"/>
          <w:b w:val="false"/>
          <w:color w:val="000000"/>
          <w:sz w:val="24"/>
          <w:u w:val="single"/>
        </w:rPr>
        <w:t>Post-Employment Obligations</w:t>
      </w:r>
      <w:r>
        <w:rPr>
          <w:rFonts w:ascii="Times New Roman" w:hAnsi="Times New Roman"/>
          <w:b w:val="false"/>
          <w:color w:val="000000"/>
          <w:sz w:val="24"/>
        </w:rPr>
        <w:t>: You hereby acknowledge that: (a) you continue to be bound by the attached Confidential Information and Inventions Assignment Agreement (</w:t>
      </w:r>
      <w:r>
        <w:rPr>
          <w:rFonts w:ascii="Times New Roman" w:hAnsi="Times New Roman"/>
          <w:b w:val="false"/>
          <w:color w:val="000000"/>
          <w:sz w:val="24"/>
          <w:u w:val="single"/>
        </w:rPr>
        <w:t>Exhibit</w:t>
      </w:r>
      <w:r>
        <w:rPr>
          <w:color w:val="000000"/>
        </w:rPr>
        <w:t xml:space="preserve"> </w:t>
      </w:r>
      <w:r>
        <w:rPr>
          <w:rFonts w:ascii="Times New Roman" w:hAnsi="Times New Roman"/>
          <w:b w:val="false"/>
          <w:color w:val="000000"/>
          <w:sz w:val="24"/>
          <w:u w:val="single"/>
        </w:rPr>
        <w:t>B</w:t>
      </w:r>
      <w:r>
        <w:rPr>
          <w:color w:val="000000"/>
        </w:rPr>
        <w:t xml:space="preserve"> </w:t>
      </w:r>
      <w:r>
        <w:rPr>
          <w:rFonts w:ascii="Times New Roman" w:hAnsi="Times New Roman"/>
          <w:b w:val="false"/>
          <w:color w:val="000000"/>
          <w:sz w:val="24"/>
        </w:rPr>
        <w:t xml:space="preserve">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255"/>
        <w:jc w:val="both"/>
        <w:rPr/>
      </w:pPr>
      <w:r>
        <w:rPr>
          <w:rFonts w:ascii="Times New Roman" w:hAnsi="Times New Roman"/>
          <w:b w:val="false"/>
          <w:color w:val="000000"/>
          <w:sz w:val="24"/>
          <w:u w:val="single"/>
        </w:rPr>
        <w:t>Restricted Stock Units</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Pursuant to the Company’s 2013 Equity Incentive Plan (as amended from</w:t>
      </w:r>
    </w:p>
    <w:p>
      <w:pPr>
        <w:pStyle w:val="TextBody"/>
        <w:bidi w:val="0"/>
        <w:jc w:val="both"/>
        <w:rPr>
          <w:rFonts w:ascii="Times New Roman" w:hAnsi="Times New Roman"/>
          <w:sz w:val="20"/>
        </w:rPr>
      </w:pPr>
      <w:r>
        <w:rPr>
          <w:rFonts w:ascii="Times New Roman" w:hAnsi="Times New Roman"/>
          <w:b w:val="false"/>
          <w:color w:val="000000"/>
          <w:sz w:val="24"/>
        </w:rPr>
        <w:t>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b w:val="false"/>
          <w:color w:val="000000"/>
          <w:sz w:val="24"/>
        </w:rPr>
        <w:t>), you were granted (a) a restricted stock unit award settleable for 30,000 shares of Common Stock on March 21, 2021 (the “</w:t>
      </w:r>
      <w:r>
        <w:rPr>
          <w:rFonts w:ascii="Times New Roman" w:hAnsi="Times New Roman"/>
          <w:b/>
          <w:i/>
          <w:color w:val="000000"/>
          <w:sz w:val="24"/>
        </w:rPr>
        <w:t>First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March 21, 2021 (the “</w:t>
      </w:r>
      <w:r>
        <w:rPr>
          <w:rFonts w:ascii="Times New Roman" w:hAnsi="Times New Roman"/>
          <w:b/>
          <w:i/>
          <w:color w:val="000000"/>
          <w:sz w:val="24"/>
        </w:rPr>
        <w:t>First RSU Agreement</w:t>
      </w:r>
      <w:r>
        <w:rPr>
          <w:rFonts w:ascii="Times New Roman" w:hAnsi="Times New Roman"/>
          <w:color w:val="000000"/>
          <w:sz w:val="20"/>
        </w:rPr>
        <w:t>”</w:t>
      </w:r>
      <w:r>
        <w:rPr>
          <w:rFonts w:ascii="Times New Roman" w:hAnsi="Times New Roman"/>
          <w:b w:val="false"/>
          <w:color w:val="000000"/>
          <w:sz w:val="24"/>
        </w:rPr>
        <w:t>), of which 27,500 shares have vested, and 2,500 shares remain unvested as of the date of this Agreement; (b) a restricted stock unit award settleable for 60,000 shares of Common Stock on October 17, 2021 (the “</w:t>
      </w:r>
      <w:r>
        <w:rPr>
          <w:rFonts w:ascii="Times New Roman" w:hAnsi="Times New Roman"/>
          <w:b/>
          <w:i/>
          <w:color w:val="000000"/>
          <w:sz w:val="24"/>
        </w:rPr>
        <w:t>Second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October 17, 2021 (the “</w:t>
      </w:r>
      <w:r>
        <w:rPr>
          <w:rFonts w:ascii="Times New Roman" w:hAnsi="Times New Roman"/>
          <w:b/>
          <w:i/>
          <w:color w:val="000000"/>
          <w:sz w:val="24"/>
        </w:rPr>
        <w:t>Second RSU Agreement</w:t>
      </w:r>
      <w:r>
        <w:rPr>
          <w:rFonts w:ascii="Times New Roman" w:hAnsi="Times New Roman"/>
          <w:color w:val="000000"/>
          <w:sz w:val="20"/>
        </w:rPr>
        <w:t>”</w:t>
      </w:r>
      <w:r>
        <w:rPr>
          <w:rFonts w:ascii="Times New Roman" w:hAnsi="Times New Roman"/>
          <w:b w:val="false"/>
          <w:color w:val="000000"/>
          <w:sz w:val="24"/>
        </w:rPr>
        <w:t>), of which 35,000 shares have vested, and 25,000 shares remain unvested as of the date of this Agreement; (c) a restricted stock unit award settleable for 25,000 shares of Common Stock on October 17, 2021 (the “</w:t>
      </w:r>
      <w:r>
        <w:rPr>
          <w:rFonts w:ascii="Times New Roman" w:hAnsi="Times New Roman"/>
          <w:b/>
          <w:i/>
          <w:color w:val="000000"/>
          <w:sz w:val="24"/>
        </w:rPr>
        <w:t>Third RSU</w:t>
      </w:r>
      <w:r>
        <w:rPr>
          <w:rFonts w:ascii="Times New Roman" w:hAnsi="Times New Roman"/>
          <w:color w:val="000000"/>
          <w:sz w:val="20"/>
        </w:rPr>
        <w:t>”</w:t>
      </w:r>
      <w:r>
        <w:rPr>
          <w:rFonts w:ascii="Times New Roman" w:hAnsi="Times New Roman"/>
          <w:b w:val="false"/>
          <w:color w:val="000000"/>
          <w:sz w:val="24"/>
        </w:rPr>
        <w:t>), as evidenced by the Restricted Stock Unit Award</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Agreement between you and the Company dated October 17, 2021 (the “</w:t>
      </w:r>
      <w:r>
        <w:rPr>
          <w:rFonts w:ascii="Times New Roman" w:hAnsi="Times New Roman"/>
          <w:b/>
          <w:i/>
          <w:color w:val="000000"/>
          <w:sz w:val="24"/>
        </w:rPr>
        <w:t>Third RSU Agreement</w:t>
      </w:r>
      <w:r>
        <w:rPr>
          <w:rFonts w:ascii="Times New Roman" w:hAnsi="Times New Roman"/>
          <w:color w:val="000000"/>
          <w:sz w:val="20"/>
        </w:rPr>
        <w:t>”</w:t>
      </w:r>
      <w:r>
        <w:rPr>
          <w:rFonts w:ascii="Times New Roman" w:hAnsi="Times New Roman"/>
          <w:b w:val="false"/>
          <w:color w:val="000000"/>
          <w:sz w:val="24"/>
        </w:rPr>
        <w:t>), of which no shares have vested, and 25,000 shares remain unvested as of the date of this Agreement; and (d) a restricted stock unit award settleable for 90,000 shares of Common Stock on</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4</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May 31, 2022 (the “</w:t>
      </w:r>
      <w:r>
        <w:rPr>
          <w:rFonts w:ascii="Times New Roman" w:hAnsi="Times New Roman"/>
          <w:b/>
          <w:i/>
          <w:color w:val="000000"/>
          <w:sz w:val="24"/>
        </w:rPr>
        <w:t>Fourth RSU</w:t>
      </w:r>
      <w:r>
        <w:rPr>
          <w:rFonts w:ascii="Times New Roman" w:hAnsi="Times New Roman"/>
          <w:color w:val="000000"/>
          <w:sz w:val="20"/>
        </w:rPr>
        <w:t>”</w:t>
      </w:r>
      <w:r>
        <w:rPr>
          <w:rFonts w:ascii="Times New Roman" w:hAnsi="Times New Roman"/>
          <w:b w:val="false"/>
          <w:color w:val="000000"/>
          <w:sz w:val="24"/>
        </w:rPr>
        <w:t>, and together with the First RSU, the Second RSU, and the Third RSU, the “</w:t>
      </w:r>
      <w:r>
        <w:rPr>
          <w:rFonts w:ascii="Times New Roman" w:hAnsi="Times New Roman"/>
          <w:b/>
          <w:i/>
          <w:color w:val="000000"/>
          <w:sz w:val="24"/>
        </w:rPr>
        <w:t>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May 31, 2022 (the “</w:t>
      </w:r>
      <w:r>
        <w:rPr>
          <w:rFonts w:ascii="Times New Roman" w:hAnsi="Times New Roman"/>
          <w:b/>
          <w:i/>
          <w:color w:val="000000"/>
          <w:sz w:val="24"/>
        </w:rPr>
        <w:t>Fourth RSU Agreement</w:t>
      </w:r>
      <w:r>
        <w:rPr>
          <w:rFonts w:ascii="Times New Roman" w:hAnsi="Times New Roman"/>
          <w:color w:val="000000"/>
          <w:sz w:val="20"/>
        </w:rPr>
        <w:t>”</w:t>
      </w:r>
      <w:r>
        <w:rPr>
          <w:rFonts w:ascii="Times New Roman" w:hAnsi="Times New Roman"/>
          <w:b w:val="false"/>
          <w:color w:val="000000"/>
          <w:sz w:val="24"/>
        </w:rPr>
        <w:t>, and together with the First RSU Agreement, the Second RSU Agreement, and the Third RSU Agreement, the “</w:t>
      </w:r>
      <w:r>
        <w:rPr>
          <w:rFonts w:ascii="Times New Roman" w:hAnsi="Times New Roman"/>
          <w:b/>
          <w:i/>
          <w:color w:val="000000"/>
          <w:sz w:val="24"/>
        </w:rPr>
        <w:t>RSU Agreements</w:t>
      </w:r>
      <w:r>
        <w:rPr>
          <w:rFonts w:ascii="Times New Roman" w:hAnsi="Times New Roman"/>
          <w:color w:val="000000"/>
          <w:sz w:val="20"/>
        </w:rPr>
        <w:t>”</w:t>
      </w:r>
      <w:r>
        <w:rPr>
          <w:rFonts w:ascii="Times New Roman" w:hAnsi="Times New Roman"/>
          <w:b w:val="false"/>
          <w:color w:val="000000"/>
          <w:sz w:val="24"/>
        </w:rPr>
        <w:t>), of which 45,000 have vested, and 45,000 shares remain unvested as of the date of this Agreement. As of the date of this Agreement, a total of 107,500 shares underlying the RSU have vested, and a total of 205,000 shares remain unvested (the “</w:t>
      </w:r>
      <w:r>
        <w:rPr>
          <w:rFonts w:ascii="Times New Roman" w:hAnsi="Times New Roman"/>
          <w:b/>
          <w:i/>
          <w:color w:val="000000"/>
          <w:sz w:val="24"/>
        </w:rPr>
        <w:t>Unvested RSU</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If you execute this Agreement and it becomes effective on its terms, you</w:t>
      </w:r>
    </w:p>
    <w:p>
      <w:pPr>
        <w:pStyle w:val="TextBody"/>
        <w:bidi w:val="0"/>
        <w:spacing w:before="0" w:after="261"/>
        <w:jc w:val="both"/>
        <w:rPr>
          <w:rFonts w:ascii="Times New Roman" w:hAnsi="Times New Roman"/>
          <w:sz w:val="20"/>
        </w:rPr>
      </w:pPr>
      <w:r>
        <w:rPr>
          <w:rFonts w:ascii="Times New Roman" w:hAnsi="Times New Roman"/>
          <w:b w:val="false"/>
          <w:color w:val="000000"/>
          <w:sz w:val="24"/>
        </w:rPr>
        <w:t>will receive vesting credit such that, as of the Separation Date, an additional (i) 2,500 unvested shares subject to the First RSU will vest, (ii) 5,000 unvested shares subject to the Second RSU will vest, and (iii) 25,000 unvested shares subject to the Third RSU will vest. Your rights concerning the RSU will continue to be governed by the RSU Agreements.</w:t>
      </w:r>
      <w:r>
        <w:rPr>
          <w:rFonts w:ascii="Times New Roman" w:hAnsi="Times New Roman"/>
          <w:color w:val="000000"/>
          <w:sz w:val="20"/>
        </w:rPr>
        <w:t xml:space="preserve">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spacing w:before="0" w:after="255"/>
        <w:jc w:val="both"/>
        <w:rPr/>
      </w:pPr>
      <w:r>
        <w:rPr>
          <w:rFonts w:ascii="Times New Roman" w:hAnsi="Times New Roman"/>
          <w:b w:val="false"/>
          <w:color w:val="000000"/>
          <w:sz w:val="24"/>
          <w:u w:val="single"/>
        </w:rPr>
        <w:t>General Release and Waiver of Claims</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The payments and promises set forth in this Agreement are in full</w:t>
      </w:r>
    </w:p>
    <w:p>
      <w:pPr>
        <w:pStyle w:val="TextBody"/>
        <w:bidi w:val="0"/>
        <w:spacing w:before="0" w:after="261"/>
        <w:jc w:val="both"/>
        <w:rPr>
          <w:rFonts w:ascii="Times New Roman" w:hAnsi="Times New Roman"/>
          <w:sz w:val="20"/>
        </w:rPr>
      </w:pPr>
      <w:r>
        <w:rPr>
          <w:rFonts w:ascii="Times New Roman" w:hAnsi="Times New Roman"/>
          <w:b w:val="false"/>
          <w:color w:val="000000"/>
          <w:sz w:val="24"/>
        </w:rPr>
        <w:t>satisfaction of all accrued salary, vacation pay, bonus and commission pay, other variable compensation,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Times New Roman" w:hAnsi="Times New Roman"/>
          <w:b/>
          <w:i/>
          <w:color w:val="000000"/>
          <w:sz w:val="24"/>
        </w:rPr>
        <w:t>Releasees</w:t>
      </w:r>
      <w:r>
        <w:rPr>
          <w:rFonts w:ascii="Times New Roman" w:hAnsi="Times New Roman"/>
          <w:color w:val="000000"/>
          <w:sz w:val="20"/>
        </w:rPr>
        <w:t>”</w:t>
      </w:r>
      <w:r>
        <w:rPr>
          <w:rFonts w:ascii="Times New Roman" w:hAnsi="Times New Roman"/>
          <w:b w:val="false"/>
          <w:color w:val="000000"/>
          <w:sz w:val="24"/>
        </w:rPr>
        <w:t>), whether known or not known, including, without limitation, claims under any employment laws, including, but not limited to, claims of unlawful discharge, retaliation, claims arising out of or related in any way to your May 10, 2023 letter to Mark Leahy, and all related communications from you or on your behalf directed to the Company regarding alleged wrongdoing,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and any other laws and/or regulations relating to employment or employment discrimination, including, without limitation, claims based on disability or under the Americans with Disabilities Act. By signing this Agreement, you are not releasing or waiving any claims under the California Fair Employment and Housing Act; however, for the avoidance of doubt, you will release and waive such claims once you sign the Second Release.</w:t>
      </w:r>
      <w:r>
        <w:rPr>
          <w:rFonts w:ascii="Times New Roman" w:hAnsi="Times New Roman"/>
          <w:color w:val="000000"/>
          <w:sz w:val="20"/>
        </w:rPr>
        <w:t xml:space="preserve"> </w:t>
      </w:r>
    </w:p>
    <w:p>
      <w:pPr>
        <w:pStyle w:val="TextBody"/>
        <w:bidi w:val="0"/>
        <w:spacing w:before="0" w:after="221"/>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21"/>
        <w:jc w:val="right"/>
        <w:rPr>
          <w:rFonts w:ascii="Times New Roman" w:hAnsi="Times New Roman"/>
          <w:b w:val="false"/>
          <w:color w:val="000000"/>
          <w:sz w:val="24"/>
        </w:rPr>
      </w:pPr>
      <w:r>
        <w:rPr>
          <w:rFonts w:ascii="Times New Roman" w:hAnsi="Times New Roman"/>
          <w:b w:val="false"/>
          <w:color w:val="000000"/>
          <w:sz w:val="24"/>
        </w:rPr>
        <w:t xml:space="preserve">By signing below, you expressly waive any benefits of Section 1542 of the Civil Code of the State of California, which provides as follows: </w:t>
      </w:r>
    </w:p>
    <w:p>
      <w:pPr>
        <w:pStyle w:val="TextBody"/>
        <w:bidi w:val="0"/>
        <w:spacing w:before="0" w:after="261"/>
        <w:jc w:val="both"/>
        <w:rPr/>
      </w:pPr>
      <w:r>
        <w:rPr>
          <w:color w:val="000000"/>
        </w:rPr>
        <w:t>“</w:t>
      </w:r>
      <w:r>
        <w:rPr>
          <w:rFonts w:ascii="Times New Roman" w:hAnsi="Times New Roman"/>
          <w:b w:val="false"/>
          <w:color w:val="000000"/>
          <w:sz w:val="24"/>
        </w:rPr>
        <w:t>A GENERAL RELEASE DOES NOT EXTEND TO CLAIMS THAT THE CREDITOR OR RELEASING PARTY DOES NOT KNOW OR SUSPECT TO EXIST IN HIS OR HER FAVOR AT THE TIME OF EXECUTING THE RELEASE AND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5</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You and the Company do not intend to release claims: (i) that you may not</w:t>
      </w:r>
    </w:p>
    <w:p>
      <w:pPr>
        <w:pStyle w:val="TextBody"/>
        <w:bidi w:val="0"/>
        <w:spacing w:before="0" w:after="261"/>
        <w:jc w:val="both"/>
        <w:rPr>
          <w:rFonts w:ascii="Times New Roman" w:hAnsi="Times New Roman"/>
          <w:sz w:val="20"/>
        </w:rPr>
      </w:pPr>
      <w:r>
        <w:rPr>
          <w:rFonts w:ascii="Times New Roman" w:hAnsi="Times New Roman"/>
          <w:b w:val="false"/>
          <w:color w:val="000000"/>
          <w:sz w:val="24"/>
        </w:rPr>
        <w:t>release as a matter of law, (ii) for indemnification, whether pursuant to California Labor Code Section 2802 or any applicable right of indemnification set forth in the Company’s Bylaws or other governing documents, (iii) for enforcement of this Agreement</w:t>
      </w:r>
      <w:r>
        <w:rPr>
          <w:rFonts w:ascii="Times New Roman" w:hAnsi="Times New Roman"/>
          <w:color w:val="000000"/>
          <w:sz w:val="20"/>
          <w:u w:val="single"/>
        </w:rPr>
        <w:t xml:space="preserve"> </w:t>
      </w:r>
      <w:r>
        <w:rPr>
          <w:rFonts w:ascii="Times New Roman" w:hAnsi="Times New Roman"/>
          <w:b w:val="false"/>
          <w:color w:val="000000"/>
          <w:sz w:val="24"/>
        </w:rPr>
        <w:t>and/or arising out of this Agreement, or (iv) your rights in and to your Company equity, including, without limitation, your rights to delivery of, to hold and/or to sell your Company equity. Nor does this Agreement waive or relinquish any rights you may have pursuant to any applicable directors and officers liability insurance policy or other insurance policies held by the Company. To the fullest extent permitted by law, any dispute regarding the scope of this general release shall be determined by an arbitrator under the procedures set forth in the arbitration clause below.</w:t>
      </w:r>
      <w:r>
        <w:rPr>
          <w:rFonts w:ascii="Times New Roman" w:hAnsi="Times New Roman"/>
          <w:color w:val="000000"/>
          <w:sz w:val="20"/>
        </w:rPr>
        <w:t xml:space="preserve">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0" w:after="255"/>
        <w:jc w:val="both"/>
        <w:rPr/>
      </w:pPr>
      <w:r>
        <w:rPr>
          <w:rFonts w:ascii="Times New Roman" w:hAnsi="Times New Roman"/>
          <w:b w:val="false"/>
          <w:color w:val="000000"/>
          <w:sz w:val="24"/>
          <w:u w:val="single"/>
        </w:rPr>
        <w:t>Covenant Not to Sue</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To the fullest extent permitted by law, at no time subsequent to the</w:t>
      </w:r>
    </w:p>
    <w:p>
      <w:pPr>
        <w:pStyle w:val="TextBody"/>
        <w:bidi w:val="0"/>
        <w:spacing w:before="0" w:after="261"/>
        <w:jc w:val="both"/>
        <w:rPr>
          <w:rFonts w:ascii="Times New Roman" w:hAnsi="Times New Roman"/>
          <w:sz w:val="20"/>
        </w:rPr>
      </w:pPr>
      <w:r>
        <w:rPr>
          <w:rFonts w:ascii="Times New Roman" w:hAnsi="Times New Roman"/>
          <w:b w:val="false"/>
          <w:color w:val="000000"/>
          <w:sz w:val="24"/>
        </w:rPr>
        <w:t>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Nothing in this paragraph shall prohibit or impair you or the Company from</w:t>
      </w:r>
    </w:p>
    <w:p>
      <w:pPr>
        <w:pStyle w:val="TextBody"/>
        <w:bidi w:val="0"/>
        <w:spacing w:before="0" w:after="261"/>
        <w:jc w:val="both"/>
        <w:rPr>
          <w:rFonts w:ascii="Times New Roman" w:hAnsi="Times New Roman"/>
          <w:sz w:val="20"/>
        </w:rPr>
      </w:pPr>
      <w:r>
        <w:rPr>
          <w:rFonts w:ascii="Times New Roman" w:hAnsi="Times New Roman"/>
          <w:b w:val="false"/>
          <w:color w:val="000000"/>
          <w:sz w:val="24"/>
        </w:rPr>
        <w:t>complying with all applicable laws, nor shall this Agreement be construed to obligate either party to commit (or aid or abet in the commission of) any unlawful act.</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spacing w:before="0" w:after="261"/>
        <w:jc w:val="both"/>
        <w:rPr/>
      </w:pPr>
      <w:r>
        <w:rPr>
          <w:rFonts w:ascii="Times New Roman" w:hAnsi="Times New Roman"/>
          <w:b w:val="false"/>
          <w:color w:val="000000"/>
          <w:sz w:val="24"/>
          <w:u w:val="single"/>
        </w:rPr>
        <w:t>Protected Rights</w:t>
      </w:r>
      <w:r>
        <w:rPr>
          <w:rFonts w:ascii="Times New Roman" w:hAnsi="Times New Roman"/>
          <w:b w:val="false"/>
          <w:color w:val="000000"/>
          <w:sz w:val="24"/>
        </w:rPr>
        <w:t>: You understand that nothing in the General Release and Waiver of Claims and Covenant Not to Sue paragraphs above, or otherwise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hAnsi="Times New Roman"/>
          <w:b/>
          <w:i/>
          <w:color w:val="000000"/>
          <w:sz w:val="24"/>
        </w:rPr>
        <w:t>Government Agencies</w:t>
      </w:r>
      <w:r>
        <w:rPr>
          <w:color w:val="000000"/>
        </w:rPr>
        <w:t>”</w:t>
      </w:r>
      <w:r>
        <w:rPr>
          <w:rFonts w:ascii="Times New Roman" w:hAnsi="Times New Roman"/>
          <w:b w:val="false"/>
          <w:color w:val="000000"/>
          <w:sz w:val="24"/>
        </w:rPr>
        <w:t xml:space="preserve">). You further understand that this Agreement does not limit your ability to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spacing w:before="0" w:after="261"/>
        <w:jc w:val="both"/>
        <w:rPr/>
      </w:pPr>
      <w:r>
        <w:rPr>
          <w:rFonts w:ascii="Times New Roman" w:hAnsi="Times New Roman"/>
          <w:b w:val="false"/>
          <w:color w:val="000000"/>
          <w:sz w:val="24"/>
          <w:u w:val="single"/>
        </w:rPr>
        <w:t>Arbitration</w:t>
      </w:r>
      <w:r>
        <w:rPr>
          <w:rFonts w:ascii="Times New Roman" w:hAnsi="Times New Roman"/>
          <w:b w:val="false"/>
          <w:color w:val="000000"/>
          <w:sz w:val="24"/>
        </w:rPr>
        <w:t xml:space="preserve">: Except for any claim for injunctive relief arising out of a breach of a party’s obligations to protect the other’s proprietary information, the parties agree to arbitrate, in San Jose,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6</w:t>
      </w:r>
      <w:r>
        <w:rPr>
          <w:rFonts w:ascii="Times New Roman" w:hAnsi="Times New Roman"/>
          <w:color w:val="000000"/>
          <w:sz w:val="20"/>
        </w:rPr>
        <w:t xml:space="preserve"> </w:t>
      </w:r>
    </w:p>
    <w:p>
      <w:pPr>
        <w:pStyle w:val="TextBody"/>
        <w:bidi w:val="0"/>
        <w:spacing w:before="0" w:after="261"/>
        <w:jc w:val="both"/>
        <w:rPr/>
      </w:pPr>
      <w:r>
        <w:rPr>
          <w:rFonts w:ascii="Times New Roman" w:hAnsi="Times New Roman"/>
          <w:b w:val="false"/>
          <w:color w:val="000000"/>
          <w:sz w:val="24"/>
        </w:rPr>
        <w:t>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r>
        <w:rPr>
          <w:color w:val="000000"/>
        </w:rPr>
        <w:t xml:space="preserve"> </w:t>
      </w:r>
    </w:p>
    <w:p>
      <w:pPr>
        <w:pStyle w:val="TextBody"/>
        <w:bidi w:val="0"/>
        <w:spacing w:before="0" w:after="295"/>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spacing w:before="0" w:after="295"/>
        <w:jc w:val="both"/>
        <w:rPr/>
      </w:pPr>
      <w:r>
        <w:rPr>
          <w:rFonts w:ascii="Times New Roman" w:hAnsi="Times New Roman"/>
          <w:b w:val="false"/>
          <w:color w:val="000000"/>
          <w:sz w:val="24"/>
          <w:u w:val="single"/>
        </w:rPr>
        <w:t>Attorneys’ Fees</w:t>
      </w:r>
      <w:r>
        <w:rPr>
          <w:rFonts w:ascii="Times New Roman" w:hAnsi="Times New Roman"/>
          <w:b w:val="false"/>
          <w:color w:val="000000"/>
          <w:sz w:val="24"/>
        </w:rPr>
        <w:t xml:space="preserve">: If any action is brought to enforce the terms of this Agreement, the prevailing party will be entitled to recover its reasonable attorneys’ fees, costs and expenses from the other party, in addition to any other relief to which the prevailing party may be entitled.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11.</w:t>
      </w:r>
    </w:p>
    <w:p>
      <w:pPr>
        <w:pStyle w:val="TextBody"/>
        <w:bidi w:val="0"/>
        <w:spacing w:before="0" w:after="261"/>
        <w:jc w:val="both"/>
        <w:rPr/>
      </w:pPr>
      <w:r>
        <w:rPr>
          <w:rFonts w:ascii="Times New Roman" w:hAnsi="Times New Roman"/>
          <w:b w:val="false"/>
          <w:color w:val="000000"/>
          <w:sz w:val="24"/>
          <w:u w:val="single"/>
        </w:rPr>
        <w:t>No Admission of Liability</w:t>
      </w:r>
      <w:r>
        <w:rPr>
          <w:rFonts w:ascii="Times New Roman" w:hAnsi="Times New Roman"/>
          <w:b w:val="false"/>
          <w:color w:val="000000"/>
          <w:sz w:val="24"/>
        </w:rPr>
        <w:t xml:space="preserve">: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 </w:t>
      </w:r>
    </w:p>
    <w:p>
      <w:pPr>
        <w:pStyle w:val="TextBody"/>
        <w:bidi w:val="0"/>
        <w:spacing w:before="0" w:after="235"/>
        <w:jc w:val="both"/>
        <w:rPr>
          <w:rFonts w:ascii="Times New Roman" w:hAnsi="Times New Roman"/>
          <w:b w:val="false"/>
          <w:color w:val="000000"/>
          <w:sz w:val="24"/>
        </w:rPr>
      </w:pPr>
      <w:r>
        <w:rPr>
          <w:rFonts w:ascii="Times New Roman" w:hAnsi="Times New Roman"/>
          <w:b w:val="false"/>
          <w:color w:val="000000"/>
          <w:sz w:val="24"/>
        </w:rPr>
        <w:t>12.</w:t>
      </w:r>
    </w:p>
    <w:p>
      <w:pPr>
        <w:pStyle w:val="TextBody"/>
        <w:bidi w:val="0"/>
        <w:spacing w:before="0" w:after="235"/>
        <w:jc w:val="both"/>
        <w:rPr/>
      </w:pPr>
      <w:r>
        <w:rPr>
          <w:rFonts w:ascii="Times New Roman" w:hAnsi="Times New Roman"/>
          <w:b w:val="false"/>
          <w:color w:val="000000"/>
          <w:sz w:val="24"/>
          <w:u w:val="single"/>
        </w:rPr>
        <w:t>Complete and Voluntary Agreement</w:t>
      </w:r>
      <w:r>
        <w:rPr>
          <w:rFonts w:ascii="Times New Roman" w:hAnsi="Times New Roman"/>
          <w:b w:val="false"/>
          <w:color w:val="000000"/>
          <w:sz w:val="24"/>
        </w:rPr>
        <w:t xml:space="preserve">: This Agreement, together with Exhibits A and B hereto and the Restricted Stock Unit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13.</w:t>
      </w:r>
    </w:p>
    <w:p>
      <w:pPr>
        <w:pStyle w:val="TextBody"/>
        <w:bidi w:val="0"/>
        <w:spacing w:before="0" w:after="261"/>
        <w:jc w:val="both"/>
        <w:rPr/>
      </w:pPr>
      <w:r>
        <w:rPr>
          <w:rFonts w:ascii="Times New Roman" w:hAnsi="Times New Roman"/>
          <w:b w:val="false"/>
          <w:color w:val="000000"/>
          <w:sz w:val="24"/>
          <w:u w:val="single"/>
        </w:rPr>
        <w:t>Severability</w:t>
      </w:r>
      <w:r>
        <w:rPr>
          <w:rFonts w:ascii="Times New Roman" w:hAnsi="Times New Roman"/>
          <w:b w:val="false"/>
          <w:color w:val="000000"/>
          <w:sz w:val="24"/>
        </w:rPr>
        <w:t xml:space="preserve">: The provisions of this Agreement are severable, and if any part of it is found to be invalid or unenforceable, including, without limitation, any part of the General Release, Covenant Not to Sue, Non-disparagement and/or Confidentiality sections above, or in the Second Release, below, the other parts shall remain fully valid and enforceable. Specifically, should a court, arbitrator, or government agency conclude that a particular claim may not be released as a matter of law, it is the intention of the parties that the general release, the waiver of </w:t>
      </w:r>
      <w:r>
        <w:rPr>
          <w:rFonts w:ascii="Times New Roman" w:hAnsi="Times New Roman"/>
          <w:b w:val="false"/>
          <w:color w:val="000000"/>
          <w:sz w:val="22"/>
        </w:rPr>
        <w:t xml:space="preserve">unknown claims and the covenant not to sue above shall otherwise remain effective to release any and all other claims.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14.</w:t>
      </w:r>
    </w:p>
    <w:p>
      <w:pPr>
        <w:pStyle w:val="TextBody"/>
        <w:bidi w:val="0"/>
        <w:spacing w:before="0" w:after="261"/>
        <w:jc w:val="both"/>
        <w:rPr/>
      </w:pPr>
      <w:r>
        <w:rPr>
          <w:rFonts w:ascii="Times New Roman" w:hAnsi="Times New Roman"/>
          <w:b w:val="false"/>
          <w:color w:val="000000"/>
          <w:sz w:val="24"/>
          <w:u w:val="single"/>
        </w:rPr>
        <w:t>Modification; Counterparts; Electronic/PDF Signatures</w:t>
      </w:r>
      <w:r>
        <w:rPr>
          <w:rFonts w:ascii="Times New Roman" w:hAnsi="Times New Roman"/>
          <w:b w:val="false"/>
          <w:color w:val="000000"/>
          <w:sz w:val="24"/>
        </w:rPr>
        <w:t xml:space="preserve">: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equally admissible in any legal proceeding as if an original.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7</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15.</w:t>
      </w:r>
    </w:p>
    <w:p>
      <w:pPr>
        <w:pStyle w:val="TextBody"/>
        <w:bidi w:val="0"/>
        <w:spacing w:before="0" w:after="261"/>
        <w:jc w:val="both"/>
        <w:rPr/>
      </w:pPr>
      <w:r>
        <w:rPr>
          <w:rFonts w:ascii="Times New Roman" w:hAnsi="Times New Roman"/>
          <w:b w:val="false"/>
          <w:color w:val="000000"/>
          <w:sz w:val="24"/>
          <w:u w:val="single"/>
        </w:rPr>
        <w:t>Governing Law</w:t>
      </w:r>
      <w:r>
        <w:rPr>
          <w:rFonts w:ascii="Times New Roman" w:hAnsi="Times New Roman"/>
          <w:b w:val="false"/>
          <w:color w:val="000000"/>
          <w:sz w:val="24"/>
        </w:rPr>
        <w:t xml:space="preserve">: This Agreement shall be governed by and construed in accordance with the laws of the State of California.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16.</w:t>
      </w:r>
    </w:p>
    <w:p>
      <w:pPr>
        <w:pStyle w:val="TextBody"/>
        <w:bidi w:val="0"/>
        <w:spacing w:before="0" w:after="261"/>
        <w:jc w:val="both"/>
        <w:rPr/>
      </w:pPr>
      <w:r>
        <w:rPr>
          <w:rFonts w:ascii="Times New Roman" w:hAnsi="Times New Roman"/>
          <w:b w:val="false"/>
          <w:color w:val="000000"/>
          <w:sz w:val="24"/>
          <w:u w:val="single"/>
        </w:rPr>
        <w:t>Expiration of Offer:</w:t>
      </w:r>
      <w:r>
        <w:rPr>
          <w:color w:val="000000"/>
        </w:rPr>
        <w:t xml:space="preserve"> </w:t>
      </w:r>
      <w:r>
        <w:rPr>
          <w:rFonts w:ascii="Times New Roman" w:hAnsi="Times New Roman"/>
          <w:b w:val="false"/>
          <w:color w:val="000000"/>
          <w:sz w:val="24"/>
        </w:rPr>
        <w:t>You understand that you may take up to three (3) business days to consider this Agreement (the “</w:t>
      </w:r>
      <w:r>
        <w:rPr>
          <w:rFonts w:ascii="Times New Roman" w:hAnsi="Times New Roman"/>
          <w:b/>
          <w:i/>
          <w:color w:val="000000"/>
          <w:sz w:val="24"/>
        </w:rPr>
        <w:t>Consideration Period</w:t>
      </w:r>
      <w:r>
        <w:rPr>
          <w:color w:val="000000"/>
        </w:rPr>
        <w:t>”</w:t>
      </w:r>
      <w:r>
        <w:rPr>
          <w:rFonts w:ascii="Times New Roman" w:hAnsi="Times New Roman"/>
          <w:b w:val="false"/>
          <w:color w:val="000000"/>
          <w:sz w:val="24"/>
        </w:rPr>
        <w:t xml:space="preserve">). The offer set forth in this Agreement, if not accepted by you before the end of the Consideration Period, </w:t>
      </w:r>
      <w:r>
        <w:rPr>
          <w:rFonts w:ascii="Times New Roman" w:hAnsi="Times New Roman"/>
          <w:b w:val="false"/>
          <w:i/>
          <w:color w:val="000000"/>
          <w:sz w:val="24"/>
        </w:rPr>
        <w:t>i.e.</w:t>
      </w:r>
      <w:r>
        <w:rPr>
          <w:rFonts w:ascii="Times New Roman" w:hAnsi="Times New Roman"/>
          <w:b w:val="false"/>
          <w:color w:val="000000"/>
          <w:sz w:val="24"/>
        </w:rPr>
        <w:t xml:space="preserve">, on or before July 26, 2023, will automatically expire. </w:t>
      </w:r>
    </w:p>
    <w:p>
      <w:pPr>
        <w:pStyle w:val="TextBody"/>
        <w:bidi w:val="0"/>
        <w:spacing w:before="0" w:after="285"/>
        <w:jc w:val="both"/>
        <w:rPr>
          <w:rFonts w:ascii="Times New Roman" w:hAnsi="Times New Roman"/>
          <w:b w:val="false"/>
          <w:color w:val="000000"/>
          <w:sz w:val="24"/>
        </w:rPr>
      </w:pPr>
      <w:r>
        <w:rPr>
          <w:rFonts w:ascii="Times New Roman" w:hAnsi="Times New Roman"/>
          <w:b w:val="false"/>
          <w:color w:val="000000"/>
          <w:sz w:val="24"/>
        </w:rPr>
        <w:t>17.</w:t>
      </w:r>
    </w:p>
    <w:p>
      <w:pPr>
        <w:pStyle w:val="TextBody"/>
        <w:bidi w:val="0"/>
        <w:spacing w:before="0" w:after="285"/>
        <w:jc w:val="both"/>
        <w:rPr>
          <w:rFonts w:ascii="Times New Roman" w:hAnsi="Times New Roman"/>
          <w:b w:val="false"/>
          <w:color w:val="000000"/>
          <w:sz w:val="24"/>
        </w:rPr>
      </w:pPr>
      <w:r>
        <w:rPr>
          <w:rFonts w:ascii="Times New Roman" w:hAnsi="Times New Roman"/>
          <w:b w:val="false"/>
          <w:color w:val="000000"/>
          <w:sz w:val="24"/>
        </w:rPr>
        <w:t xml:space="preserve">All payments under this Agreement shall be made in full without regard to payments you may receive from future employment or consulting work. </w:t>
      </w:r>
    </w:p>
    <w:p>
      <w:pPr>
        <w:pStyle w:val="TextBody"/>
        <w:bidi w:val="0"/>
        <w:spacing w:before="0" w:after="239"/>
        <w:jc w:val="both"/>
        <w:rPr>
          <w:rFonts w:ascii="Times New Roman" w:hAnsi="Times New Roman"/>
          <w:b w:val="false"/>
          <w:color w:val="000000"/>
          <w:sz w:val="24"/>
        </w:rPr>
      </w:pPr>
      <w:r>
        <w:rPr>
          <w:rFonts w:ascii="Times New Roman" w:hAnsi="Times New Roman"/>
          <w:b w:val="false"/>
          <w:color w:val="000000"/>
          <w:sz w:val="24"/>
        </w:rPr>
        <w:t>18.</w:t>
      </w:r>
    </w:p>
    <w:p>
      <w:pPr>
        <w:pStyle w:val="TextBody"/>
        <w:bidi w:val="0"/>
        <w:spacing w:before="0" w:after="239"/>
        <w:jc w:val="both"/>
        <w:rPr/>
      </w:pPr>
      <w:r>
        <w:rPr>
          <w:rFonts w:ascii="Times New Roman" w:hAnsi="Times New Roman"/>
          <w:b w:val="false"/>
          <w:color w:val="000000"/>
          <w:sz w:val="22"/>
          <w:u w:val="single"/>
        </w:rPr>
        <w:t>Effective Date</w:t>
      </w:r>
      <w:r>
        <w:rPr>
          <w:rFonts w:ascii="Times New Roman" w:hAnsi="Times New Roman"/>
          <w:b w:val="false"/>
          <w:color w:val="000000"/>
          <w:sz w:val="22"/>
        </w:rPr>
        <w:t>: This Agreement is effective on the date it is signed by both parties (the “</w:t>
      </w:r>
      <w:r>
        <w:rPr>
          <w:rFonts w:ascii="Times New Roman" w:hAnsi="Times New Roman"/>
          <w:b/>
          <w:i/>
          <w:color w:val="000000"/>
          <w:sz w:val="22"/>
        </w:rPr>
        <w:t>Effective Date</w:t>
      </w:r>
      <w:r>
        <w:rPr>
          <w:color w:val="000000"/>
        </w:rPr>
        <w:t>”</w:t>
      </w:r>
      <w:r>
        <w:rPr>
          <w:rFonts w:ascii="Times New Roman" w:hAnsi="Times New Roman"/>
          <w:b w:val="false"/>
          <w:color w:val="000000"/>
          <w:sz w:val="22"/>
        </w:rPr>
        <w:t>).</w:t>
      </w:r>
      <w:r>
        <w:rPr>
          <w:color w:val="000000"/>
        </w:rPr>
        <w:t xml:space="preserve"> </w:t>
      </w:r>
    </w:p>
    <w:p>
      <w:pPr>
        <w:pStyle w:val="TextBody"/>
        <w:bidi w:val="0"/>
        <w:spacing w:before="0" w:after="507"/>
        <w:jc w:val="both"/>
        <w:rPr>
          <w:rFonts w:ascii="Times New Roman" w:hAnsi="Times New Roman"/>
          <w:sz w:val="20"/>
        </w:rPr>
      </w:pPr>
      <w:r>
        <w:rPr>
          <w:rFonts w:ascii="Times New Roman" w:hAnsi="Times New Roman"/>
          <w:b w:val="false"/>
          <w:color w:val="000000"/>
          <w:sz w:val="24"/>
        </w:rPr>
        <w:t>If you agree to abide by the terms outlined in this Agreement, please sign and return it to me. I wish you the best in your future endeavors.</w:t>
      </w:r>
      <w:r>
        <w:rPr>
          <w:rFonts w:ascii="Times New Roman" w:hAnsi="Times New Roman"/>
          <w:color w:val="000000"/>
          <w:sz w:val="20"/>
        </w:rPr>
        <w:t xml:space="preserve"> </w:t>
      </w:r>
    </w:p>
    <w:p>
      <w:pPr>
        <w:pStyle w:val="TextBody"/>
        <w:bidi w:val="0"/>
        <w:spacing w:before="0" w:after="244"/>
        <w:jc w:val="center"/>
        <w:rPr>
          <w:rFonts w:ascii="Times New Roman" w:hAnsi="Times New Roman"/>
          <w:sz w:val="20"/>
        </w:rPr>
      </w:pPr>
      <w:r>
        <w:rPr>
          <w:rFonts w:ascii="Times New Roman" w:hAnsi="Times New Roman"/>
          <w:b w:val="false"/>
          <w:color w:val="000000"/>
          <w:sz w:val="24"/>
        </w:rPr>
        <w:t>Sincerely,</w:t>
      </w:r>
      <w:r>
        <w:rPr>
          <w:rFonts w:ascii="Times New Roman" w:hAnsi="Times New Roman"/>
          <w:color w:val="000000"/>
          <w:sz w:val="20"/>
        </w:rPr>
        <w:t xml:space="preserve"> </w:t>
      </w:r>
    </w:p>
    <w:p>
      <w:pPr>
        <w:pStyle w:val="TextBody"/>
        <w:bidi w:val="0"/>
        <w:spacing w:before="0" w:after="523"/>
        <w:jc w:val="center"/>
        <w:rPr>
          <w:rFonts w:ascii="Times New Roman" w:hAnsi="Times New Roman"/>
          <w:sz w:val="20"/>
        </w:rPr>
      </w:pPr>
      <w:r>
        <w:rPr>
          <w:rFonts w:ascii="Times New Roman" w:hAnsi="Times New Roman"/>
          <w:b w:val="false"/>
          <w:color w:val="000000"/>
          <w:sz w:val="24"/>
        </w:rPr>
        <w:t>Energous Corporation</w:t>
      </w:r>
      <w:r>
        <w:rPr>
          <w:rFonts w:ascii="Times New Roman" w:hAnsi="Times New Roman"/>
          <w:color w:val="000000"/>
          <w:sz w:val="20"/>
        </w:rPr>
        <w:t xml:space="preserve"> </w:t>
      </w:r>
    </w:p>
    <w:p>
      <w:pPr>
        <w:pStyle w:val="TextBody"/>
        <w:bidi w:val="0"/>
        <w:spacing w:before="0" w:after="10"/>
        <w:jc w:val="left"/>
        <w:rPr>
          <w:rFonts w:ascii="Times New Roman" w:hAnsi="Times New Roman"/>
          <w:sz w:val="20"/>
        </w:rPr>
      </w:pPr>
      <w:r>
        <w:rPr>
          <w:rFonts w:ascii="Times New Roman" w:hAnsi="Times New Roman"/>
          <w:b w:val="false"/>
          <w:color w:val="000000"/>
          <w:sz w:val="24"/>
        </w:rPr>
        <w:t>By: /s/ J. Michael Dodson</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J Michael Dodson,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Member, Board of Directors</w:t>
      </w:r>
      <w:r>
        <w:rPr>
          <w:rFonts w:ascii="Times New Roman" w:hAnsi="Times New Roman"/>
          <w:color w:val="000000"/>
          <w:sz w:val="20"/>
        </w:rPr>
        <w:t xml:space="preserve"> </w:t>
      </w:r>
    </w:p>
    <w:p>
      <w:pPr>
        <w:pStyle w:val="TextBody"/>
        <w:bidi w:val="0"/>
        <w:spacing w:before="0" w:after="556"/>
        <w:jc w:val="both"/>
        <w:rPr>
          <w:rFonts w:ascii="Times New Roman" w:hAnsi="Times New Roman"/>
          <w:sz w:val="20"/>
        </w:rPr>
      </w:pPr>
      <w:r>
        <w:rPr>
          <w:rFonts w:ascii="Times New Roman" w:hAnsi="Times New Roman"/>
          <w:b w:val="false"/>
          <w:color w:val="000000"/>
          <w:sz w:val="24"/>
        </w:rPr>
        <w:t>READ, UNDERSTOOD AND AGREED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4"/>
        </w:rPr>
        <w:t xml:space="preserve">/s/ William (Bill) Mannina Date: </w:t>
      </w:r>
      <w:r>
        <w:rPr>
          <w:rFonts w:ascii="Arial" w:hAnsi="Arial"/>
          <w:b w:val="false"/>
          <w:color w:val="000000"/>
          <w:sz w:val="16"/>
        </w:rPr>
        <w:t>7/28/2023</w:t>
      </w:r>
    </w:p>
    <w:p>
      <w:pPr>
        <w:pStyle w:val="TextBody"/>
        <w:bidi w:val="0"/>
        <w:spacing w:before="0" w:after="71"/>
        <w:jc w:val="left"/>
        <w:rPr/>
      </w:pPr>
      <w:r>
        <w:rPr/>
        <w:t> </w:t>
      </w:r>
    </w:p>
    <w:p>
      <w:pPr>
        <w:pStyle w:val="TextBody"/>
        <w:bidi w:val="0"/>
        <w:spacing w:before="0" w:after="261"/>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52"/>
        <w:jc w:val="center"/>
        <w:rPr>
          <w:rFonts w:ascii="Times New Roman" w:hAnsi="Times New Roman"/>
          <w:sz w:val="20"/>
        </w:rPr>
      </w:pPr>
      <w:r>
        <w:rPr>
          <w:rFonts w:ascii="Times New Roman" w:hAnsi="Times New Roman"/>
          <w:b/>
          <w:color w:val="000000"/>
          <w:sz w:val="24"/>
          <w:u w:val="single"/>
        </w:rPr>
        <w:t>EXHIBIT A</w:t>
      </w:r>
      <w:r>
        <w:rPr>
          <w:rFonts w:ascii="Times New Roman" w:hAnsi="Times New Roman"/>
          <w:color w:val="000000"/>
          <w:sz w:val="20"/>
        </w:rPr>
        <w:t xml:space="preserve"> </w:t>
      </w:r>
    </w:p>
    <w:p>
      <w:pPr>
        <w:pStyle w:val="TextBody"/>
        <w:bidi w:val="0"/>
        <w:spacing w:before="0" w:after="252"/>
        <w:jc w:val="center"/>
        <w:rPr>
          <w:rFonts w:ascii="Times New Roman" w:hAnsi="Times New Roman"/>
          <w:sz w:val="20"/>
        </w:rPr>
      </w:pPr>
      <w:r>
        <w:rPr>
          <w:rFonts w:ascii="Times New Roman" w:hAnsi="Times New Roman"/>
          <w:b/>
          <w:color w:val="000000"/>
          <w:sz w:val="24"/>
        </w:rPr>
        <w:t>SECOND RELEASE</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val="false"/>
          <w:color w:val="000000"/>
          <w:sz w:val="24"/>
        </w:rPr>
        <w:t>This General Release of All Claims and Covenant Not to Sue (the “</w:t>
      </w:r>
      <w:r>
        <w:rPr>
          <w:rFonts w:ascii="Times New Roman" w:hAnsi="Times New Roman"/>
          <w:b/>
          <w:i/>
          <w:color w:val="000000"/>
          <w:sz w:val="24"/>
        </w:rPr>
        <w:t>Second Release</w:t>
      </w:r>
      <w:r>
        <w:rPr>
          <w:rFonts w:ascii="Times New Roman" w:hAnsi="Times New Roman"/>
          <w:color w:val="000000"/>
          <w:sz w:val="20"/>
        </w:rPr>
        <w:t>”</w:t>
      </w:r>
      <w:r>
        <w:rPr>
          <w:rFonts w:ascii="Times New Roman" w:hAnsi="Times New Roman"/>
          <w:b w:val="false"/>
          <w:color w:val="000000"/>
          <w:sz w:val="24"/>
        </w:rPr>
        <w:t>) is entered into between William (Bill) Mannina (“</w:t>
      </w:r>
      <w:r>
        <w:rPr>
          <w:rFonts w:ascii="Times New Roman" w:hAnsi="Times New Roman"/>
          <w:b/>
          <w:i/>
          <w:color w:val="000000"/>
          <w:sz w:val="24"/>
        </w:rPr>
        <w:t>Employee</w:t>
      </w:r>
      <w:r>
        <w:rPr>
          <w:rFonts w:ascii="Times New Roman" w:hAnsi="Times New Roman"/>
          <w:color w:val="000000"/>
          <w:sz w:val="20"/>
        </w:rPr>
        <w:t>”</w:t>
      </w:r>
      <w:r>
        <w:rPr>
          <w:rFonts w:ascii="Times New Roman" w:hAnsi="Times New Roman"/>
          <w:b w:val="false"/>
          <w:color w:val="000000"/>
          <w:sz w:val="24"/>
        </w:rPr>
        <w:t>) and Energous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b w:val="false"/>
          <w:color w:val="000000"/>
          <w:sz w:val="24"/>
        </w:rPr>
        <w:t>) (collectively, “</w:t>
      </w:r>
      <w:r>
        <w:rPr>
          <w:rFonts w:ascii="Times New Roman" w:hAnsi="Times New Roman"/>
          <w:b/>
          <w:i/>
          <w:color w:val="000000"/>
          <w:sz w:val="24"/>
        </w:rPr>
        <w:t>the parties</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and the Company entered into an agreement regarding Employee’s transition and separation from employment with the Company (the “</w:t>
      </w:r>
      <w:r>
        <w:rPr>
          <w:rFonts w:ascii="Times New Roman" w:hAnsi="Times New Roman"/>
          <w:b/>
          <w:i/>
          <w:color w:val="000000"/>
          <w:sz w:val="24"/>
        </w:rPr>
        <w:t>Separation Agreement</w:t>
      </w:r>
      <w:r>
        <w:rPr>
          <w:rFonts w:ascii="Times New Roman" w:hAnsi="Times New Roman"/>
          <w:b w:val="false"/>
          <w:color w:val="000000"/>
          <w:sz w:val="24"/>
        </w:rPr>
        <w:t>,” to which this Second Release is attached as Exhibit A);</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on August 16, 2023, Employee’s employment with the Company terminated (the “</w:t>
      </w:r>
      <w:r>
        <w:rPr>
          <w:rFonts w:ascii="Times New Roman" w:hAnsi="Times New Roman"/>
          <w:b/>
          <w:i/>
          <w:color w:val="000000"/>
          <w:sz w:val="24"/>
        </w:rPr>
        <w:t>Separation Date</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has adequately provided the Transition Services (as defined in the Separation Agreement);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b w:val="false"/>
          <w:color w:val="000000"/>
          <w:sz w:val="24"/>
        </w:rPr>
        <w:t>this agreement serves as the Second Release, pursuant to the Separation Agreement; and</w:t>
      </w:r>
      <w:r>
        <w:rPr>
          <w:rFonts w:ascii="Times New Roman" w:hAnsi="Times New Roman"/>
          <w:color w:val="000000"/>
          <w:sz w:val="20"/>
        </w:rPr>
        <w:t xml:space="preserve"> </w:t>
      </w:r>
    </w:p>
    <w:p>
      <w:pPr>
        <w:pStyle w:val="TextBody"/>
        <w:bidi w:val="0"/>
        <w:spacing w:before="0" w:after="111"/>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and the Company desire to mutually, amicably and finally resolve and compromise all issues and claims surrounding Employee’s employment and separation from employment with the Company;</w:t>
      </w:r>
      <w:r>
        <w:rPr>
          <w:rFonts w:ascii="Times New Roman" w:hAnsi="Times New Roman"/>
          <w:color w:val="000000"/>
          <w:sz w:val="20"/>
        </w:rPr>
        <w:t xml:space="preserve"> </w:t>
      </w:r>
    </w:p>
    <w:p>
      <w:pPr>
        <w:pStyle w:val="TextBody"/>
        <w:bidi w:val="0"/>
        <w:spacing w:before="0" w:after="368"/>
        <w:jc w:val="both"/>
        <w:rPr>
          <w:rFonts w:ascii="Times New Roman" w:hAnsi="Times New Roman"/>
          <w:sz w:val="20"/>
        </w:rPr>
      </w:pPr>
      <w:r>
        <w:rPr>
          <w:rFonts w:ascii="Times New Roman" w:hAnsi="Times New Roman"/>
          <w:b/>
          <w:color w:val="000000"/>
          <w:sz w:val="24"/>
        </w:rPr>
        <w:t>NOW THEREFORE</w:t>
      </w:r>
      <w:r>
        <w:rPr>
          <w:rFonts w:ascii="Times New Roman" w:hAnsi="Times New Roman"/>
          <w:b w:val="false"/>
          <w:color w:val="000000"/>
          <w:sz w:val="24"/>
        </w:rPr>
        <w:t>, in consideration for the mutual promises and undertakings of the parties as set forth below, Employee and the Company hereby enter into this Second Release.</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jc w:val="both"/>
        <w:rPr/>
      </w:pPr>
      <w:r>
        <w:rPr>
          <w:rFonts w:ascii="Times New Roman" w:hAnsi="Times New Roman"/>
          <w:b w:val="false"/>
          <w:color w:val="000000"/>
          <w:sz w:val="24"/>
          <w:u w:val="single"/>
        </w:rPr>
        <w:t>Acknowledgment of Payment of Wages</w:t>
      </w:r>
      <w:r>
        <w:rPr>
          <w:rFonts w:ascii="Times New Roman" w:hAnsi="Times New Roman"/>
          <w:b w:val="false"/>
          <w:color w:val="000000"/>
          <w:sz w:val="24"/>
        </w:rPr>
        <w:t>: Providing that the Company has paid</w:t>
      </w:r>
    </w:p>
    <w:p>
      <w:pPr>
        <w:pStyle w:val="TextBody"/>
        <w:bidi w:val="0"/>
        <w:spacing w:before="0" w:after="295"/>
        <w:jc w:val="both"/>
        <w:rPr>
          <w:rFonts w:ascii="Times New Roman" w:hAnsi="Times New Roman"/>
          <w:sz w:val="20"/>
        </w:rPr>
      </w:pPr>
      <w:r>
        <w:rPr>
          <w:rFonts w:ascii="Times New Roman" w:hAnsi="Times New Roman"/>
          <w:b w:val="false"/>
          <w:color w:val="000000"/>
          <w:sz w:val="24"/>
        </w:rPr>
        <w:t>Employee all accrued salary and accrued vacation through and as of the Separation Date</w:t>
      </w:r>
      <w:r>
        <w:rPr>
          <w:rFonts w:ascii="Times New Roman" w:hAnsi="Times New Roman"/>
          <w:b w:val="false"/>
          <w:color w:val="59595A"/>
          <w:sz w:val="24"/>
        </w:rPr>
        <w:t>, b</w:t>
      </w:r>
      <w:r>
        <w:rPr>
          <w:rFonts w:ascii="Times New Roman" w:hAnsi="Times New Roman"/>
          <w:b w:val="false"/>
          <w:color w:val="000000"/>
          <w:sz w:val="24"/>
        </w:rPr>
        <w:t>y Employe’s signature below Employee acknowledges that, on the Separation Date, the Company paid Employee for all wages, salary, accrued vacation (if applicable), bonuses, reimbursable expenses previously submitted by Employee, and any similar payments due Employee from the Company as of the Separation Date.</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61"/>
        <w:jc w:val="both"/>
        <w:rPr/>
      </w:pPr>
      <w:r>
        <w:rPr>
          <w:rFonts w:ascii="Times New Roman" w:hAnsi="Times New Roman"/>
          <w:b w:val="false"/>
          <w:color w:val="000000"/>
          <w:sz w:val="24"/>
          <w:u w:val="single"/>
        </w:rPr>
        <w:t>Return of Company Property</w:t>
      </w:r>
      <w:r>
        <w:rPr>
          <w:rFonts w:ascii="Times New Roman" w:hAnsi="Times New Roman"/>
          <w:b w:val="false"/>
          <w:color w:val="000000"/>
          <w:sz w:val="24"/>
        </w:rPr>
        <w:t xml:space="preserve">: Employee hereby warrants to the Company that Employee has returned to the Company all property or data of the Company of any type whatsoever that has been in Employee’s possession, custody or control.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61"/>
        <w:jc w:val="both"/>
        <w:rPr/>
      </w:pPr>
      <w:r>
        <w:rPr>
          <w:rFonts w:ascii="Times New Roman" w:hAnsi="Times New Roman"/>
          <w:b w:val="false"/>
          <w:color w:val="000000"/>
          <w:sz w:val="24"/>
          <w:u w:val="single"/>
        </w:rPr>
        <w:t>Consideration</w:t>
      </w:r>
      <w:r>
        <w:rPr>
          <w:rFonts w:ascii="Times New Roman" w:hAnsi="Times New Roman"/>
          <w:b w:val="false"/>
          <w:color w:val="000000"/>
          <w:sz w:val="24"/>
        </w:rPr>
        <w:t xml:space="preserve">: In exchange for Employee’s agreement to this Second Release and Employee’s other promises in the Separation Agreement and herein, the Company agrees to provide Employee with the consideration set forth in Paragraph 1(c) of the Separation Agreement. By signing below, Employee acknowledges that Employee is receiving the consideration in exchange for waiving Employee’s rights to claims referred to in this Second Release and Employee would not otherwise be entitled to the consideration.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55"/>
        <w:jc w:val="both"/>
        <w:rPr/>
      </w:pPr>
      <w:r>
        <w:rPr>
          <w:rFonts w:ascii="Times New Roman" w:hAnsi="Times New Roman"/>
          <w:b w:val="false"/>
          <w:color w:val="000000"/>
          <w:sz w:val="24"/>
          <w:u w:val="single"/>
        </w:rPr>
        <w:t>General Release and Waiver of Claims</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The payments and promises set forth in this Second Release are in full</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363"/>
        <w:jc w:val="both"/>
        <w:rPr>
          <w:rFonts w:ascii="Times New Roman" w:hAnsi="Times New Roman"/>
          <w:sz w:val="20"/>
        </w:rPr>
      </w:pPr>
      <w:r>
        <w:rPr>
          <w:rFonts w:ascii="Times New Roman" w:hAnsi="Times New Roman"/>
          <w:b w:val="false"/>
          <w:color w:val="000000"/>
          <w:sz w:val="24"/>
        </w:rPr>
        <w:t>satisfaction of all accrued salary, vacation pay, bonus and commission pay, other variable compensation, profit-sharing, stock, stock options or other ownership interest in the Company, termination benefits or other compensation to which Employee may be entitled by virtue of</w:t>
      </w:r>
      <w:r>
        <w:rPr>
          <w:rFonts w:ascii="Times New Roman" w:hAnsi="Times New Roman"/>
          <w:color w:val="000000"/>
          <w:sz w:val="20"/>
        </w:rPr>
        <w:t xml:space="preserve"> </w:t>
      </w:r>
    </w:p>
    <w:p>
      <w:pPr>
        <w:pStyle w:val="TextBody"/>
        <w:bidi w:val="0"/>
        <w:spacing w:before="0" w:after="189"/>
        <w:jc w:val="center"/>
        <w:rPr>
          <w:rFonts w:ascii="Times New Roman" w:hAnsi="Times New Roman"/>
          <w:sz w:val="20"/>
        </w:rPr>
      </w:pPr>
      <w:r>
        <w:rPr>
          <w:rFonts w:ascii="Times New Roman" w:hAnsi="Times New Roman"/>
          <w:b w:val="false"/>
          <w:color w:val="000000"/>
          <w:sz w:val="20"/>
        </w:rPr>
        <w:t>1</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Employee’s employment with the Company or Employee’s separation from the Company, including pursuant to the Separation Agreement. To the fullest extent permitted by law, Employee hereby releases and waives any other claims Employee may have against the Company and its owners, agents, officers, shareholders, employees, directors, attorneys, subscribers, subsidiaries, affiliates, successors and assigns (collectively “</w:t>
      </w:r>
      <w:r>
        <w:rPr>
          <w:rFonts w:ascii="Times New Roman" w:hAnsi="Times New Roman"/>
          <w:b/>
          <w:i/>
          <w:color w:val="000000"/>
          <w:sz w:val="24"/>
        </w:rPr>
        <w:t>Releasees</w:t>
      </w:r>
      <w:r>
        <w:rPr>
          <w:rFonts w:ascii="Times New Roman" w:hAnsi="Times New Roman"/>
          <w:color w:val="000000"/>
          <w:sz w:val="20"/>
        </w:rPr>
        <w:t>”</w:t>
      </w:r>
      <w:r>
        <w:rPr>
          <w:rFonts w:ascii="Times New Roman" w:hAnsi="Times New Roman"/>
          <w:b w:val="false"/>
          <w:color w:val="000000"/>
          <w:sz w:val="24"/>
        </w:rPr>
        <w:t>), whether known or not known, including, without limitation, claims under any employment laws, including, but not limited to, claims of unlawful discharge, retaliation, claims arising out of or related in any way to Employee’s May 10, 2023 letter to Mark Leahy, and all related communications from Employee or on his behalf directed to the Company regarding alleged wrongdoing, breach of contract, breach of the covenant of good faith and fair dealing, fraud, violation of public policy, defamation, physical injury, emotional distress, claims for additional compensation or benefits arising out of Employee’s employment or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By signing below, Employee expressly waives any benefits of Section 1542</w:t>
      </w:r>
    </w:p>
    <w:p>
      <w:pPr>
        <w:pStyle w:val="TextBody"/>
        <w:bidi w:val="0"/>
        <w:spacing w:before="0" w:after="226"/>
        <w:jc w:val="both"/>
        <w:rPr>
          <w:rFonts w:ascii="Times New Roman" w:hAnsi="Times New Roman"/>
          <w:sz w:val="20"/>
        </w:rPr>
      </w:pPr>
      <w:r>
        <w:rPr>
          <w:rFonts w:ascii="Times New Roman" w:hAnsi="Times New Roman"/>
          <w:b w:val="false"/>
          <w:color w:val="000000"/>
          <w:sz w:val="24"/>
        </w:rPr>
        <w:t>of the Civil Code of the State of California, which provides as follows:</w:t>
      </w:r>
      <w:r>
        <w:rPr>
          <w:rFonts w:ascii="Times New Roman" w:hAnsi="Times New Roman"/>
          <w:color w:val="000000"/>
          <w:sz w:val="20"/>
        </w:rPr>
        <w:t xml:space="preserve"> </w:t>
      </w:r>
    </w:p>
    <w:p>
      <w:pPr>
        <w:pStyle w:val="TextBody"/>
        <w:bidi w:val="0"/>
        <w:spacing w:before="0" w:after="261"/>
        <w:jc w:val="both"/>
        <w:rPr/>
      </w:pPr>
      <w:r>
        <w:rPr>
          <w:color w:val="000000"/>
        </w:rPr>
        <w:t>“</w:t>
      </w:r>
      <w:r>
        <w:rPr>
          <w:rFonts w:ascii="Times New Roman" w:hAnsi="Times New Roman"/>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Employee and the Company do not intend to release claims (i) that Employee</w:t>
      </w:r>
    </w:p>
    <w:p>
      <w:pPr>
        <w:pStyle w:val="TextBody"/>
        <w:bidi w:val="0"/>
        <w:spacing w:before="0" w:after="261"/>
        <w:jc w:val="both"/>
        <w:rPr>
          <w:rFonts w:ascii="Times New Roman" w:hAnsi="Times New Roman"/>
          <w:sz w:val="20"/>
        </w:rPr>
      </w:pPr>
      <w:r>
        <w:rPr>
          <w:rFonts w:ascii="Times New Roman" w:hAnsi="Times New Roman"/>
          <w:b w:val="false"/>
          <w:color w:val="000000"/>
          <w:sz w:val="24"/>
        </w:rPr>
        <w:t>may not release as a matter of law, (ii) for indemnification, whether pursuant to California Labor Code Section 2802 or any applicable right of indemnification set forth in the Company’s Bylaws or other governing documents, (iii) for enforcement of this Second Release and/or arising out of this Second Release or the Agreement to which this Second Release is attached, or (iv) your rights in and to your Company equity, including, without limitation, your rights to delivery of, to hold and/or to sell your Company equity. Nor does this Second Release waive or relinquish any rights Employee may have pursuant to any applicable directors and officers liability insurance policy or other insurance policies held by the Company. To the fullest extent permitted by law, any dispute regarding the scope of this general release shall be determined by an arbitrator under the procedures set forth in the arbitration clause set forth in the Separation Agreement.</w:t>
      </w:r>
      <w:r>
        <w:rPr>
          <w:rFonts w:ascii="Times New Roman" w:hAnsi="Times New Roman"/>
          <w:color w:val="000000"/>
          <w:sz w:val="20"/>
        </w:rPr>
        <w:t xml:space="preserve"> </w:t>
      </w:r>
    </w:p>
    <w:p>
      <w:pPr>
        <w:pStyle w:val="TextBody"/>
        <w:bidi w:val="0"/>
        <w:spacing w:before="0" w:after="331"/>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331"/>
        <w:jc w:val="both"/>
        <w:rPr/>
      </w:pPr>
      <w:r>
        <w:rPr>
          <w:rFonts w:ascii="Times New Roman" w:hAnsi="Times New Roman"/>
          <w:b w:val="false"/>
          <w:color w:val="000000"/>
          <w:sz w:val="24"/>
          <w:u w:val="single"/>
        </w:rPr>
        <w:t>Covenant Not to Sue</w:t>
      </w:r>
      <w:r>
        <w:rPr>
          <w:rFonts w:ascii="Times New Roman" w:hAnsi="Times New Roman"/>
          <w:b w:val="false"/>
          <w:color w:val="000000"/>
          <w:sz w:val="24"/>
        </w:rPr>
        <w:t>:</w:t>
      </w:r>
    </w:p>
    <w:p>
      <w:pPr>
        <w:pStyle w:val="TextBody"/>
        <w:bidi w:val="0"/>
        <w:jc w:val="center"/>
        <w:rPr>
          <w:rFonts w:ascii="Times New Roman" w:hAnsi="Times New Roman"/>
          <w:sz w:val="20"/>
        </w:rPr>
      </w:pPr>
      <w:r>
        <w:rPr>
          <w:rFonts w:ascii="Times New Roman" w:hAnsi="Times New Roman"/>
          <w:b w:val="false"/>
          <w:color w:val="000000"/>
          <w:sz w:val="24"/>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To the fullest extent permitted by law, at no time subsequent to the execution</w:t>
      </w:r>
    </w:p>
    <w:p>
      <w:pPr>
        <w:pStyle w:val="TextBody"/>
        <w:bidi w:val="0"/>
        <w:spacing w:before="0" w:after="261"/>
        <w:jc w:val="both"/>
        <w:rPr>
          <w:rFonts w:ascii="Times New Roman" w:hAnsi="Times New Roman"/>
          <w:sz w:val="20"/>
        </w:rPr>
      </w:pPr>
      <w:r>
        <w:rPr>
          <w:rFonts w:ascii="Times New Roman" w:hAnsi="Times New Roman"/>
          <w:b w:val="false"/>
          <w:color w:val="000000"/>
          <w:sz w:val="24"/>
        </w:rPr>
        <w:t>of this Second Release will Employee pursue, or cause or knowingly permit the prosecution, in any state, federal or foreign court, or before any local, state, federal or foreign administrative agency, or any other tribunal, of any charge, claim or action of any kind, nature and character whatsoever, known or unknown, which Employee may now have, have ever had, or may in the future have against Releasees, which is based in whole or in part on any matter released by this Second Release.</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Nothing in this paragraph shall prohibit or impair Employee or the Company</w:t>
      </w:r>
    </w:p>
    <w:p>
      <w:pPr>
        <w:pStyle w:val="TextBody"/>
        <w:bidi w:val="0"/>
        <w:spacing w:before="0" w:after="261"/>
        <w:jc w:val="both"/>
        <w:rPr>
          <w:rFonts w:ascii="Times New Roman" w:hAnsi="Times New Roman"/>
          <w:sz w:val="20"/>
        </w:rPr>
      </w:pPr>
      <w:r>
        <w:rPr>
          <w:rFonts w:ascii="Times New Roman" w:hAnsi="Times New Roman"/>
          <w:b w:val="false"/>
          <w:color w:val="000000"/>
          <w:sz w:val="24"/>
        </w:rPr>
        <w:t>from complying with all applicable laws, nor shall this Second Release be construed to obligate either party to commit (or aid or abet in the commission of) any unlawful act.</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spacing w:before="0" w:after="261"/>
        <w:jc w:val="both"/>
        <w:rPr/>
      </w:pPr>
      <w:r>
        <w:rPr>
          <w:rFonts w:ascii="Times New Roman" w:hAnsi="Times New Roman"/>
          <w:b w:val="false"/>
          <w:color w:val="000000"/>
          <w:sz w:val="24"/>
          <w:u w:val="single"/>
        </w:rPr>
        <w:t>Protected Rights</w:t>
      </w:r>
      <w:r>
        <w:rPr>
          <w:rFonts w:ascii="Times New Roman" w:hAnsi="Times New Roman"/>
          <w:b w:val="false"/>
          <w:color w:val="000000"/>
          <w:sz w:val="24"/>
        </w:rPr>
        <w:t>: Employee understands that nothing in the General Release and Waiver of Claims and Covenant Not to Sue paragraphs above, or otherwise in this Second Release, limits his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hAnsi="Times New Roman"/>
          <w:b/>
          <w:i/>
          <w:color w:val="000000"/>
          <w:sz w:val="24"/>
        </w:rPr>
        <w:t>Government Agencies</w:t>
      </w:r>
      <w:r>
        <w:rPr>
          <w:color w:val="000000"/>
        </w:rPr>
        <w:t>”</w:t>
      </w:r>
      <w:r>
        <w:rPr>
          <w:rFonts w:ascii="Times New Roman" w:hAnsi="Times New Roman"/>
          <w:b w:val="false"/>
          <w:color w:val="000000"/>
          <w:sz w:val="24"/>
        </w:rPr>
        <w:t xml:space="preserve">). Employee further understands that this Second Release does not limit his ability to communicate with any Government Agencies or otherwise participate in any investigation or proceeding that may be conducted by any Government Agency, including providing documents or other information, without notice to the Company. This Second Release does not limit Employee’s right to receive an award for information provided to any Government Agencies.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0" w:after="261"/>
        <w:jc w:val="both"/>
        <w:rPr/>
      </w:pPr>
      <w:r>
        <w:rPr>
          <w:rFonts w:ascii="Times New Roman" w:hAnsi="Times New Roman"/>
          <w:b w:val="false"/>
          <w:color w:val="000000"/>
          <w:sz w:val="24"/>
          <w:u w:val="single"/>
        </w:rPr>
        <w:t>Mutual Non-disparagement</w:t>
      </w:r>
      <w:r>
        <w:rPr>
          <w:rFonts w:ascii="Times New Roman" w:hAnsi="Times New Roman"/>
          <w:b w:val="false"/>
          <w:color w:val="000000"/>
          <w:sz w:val="24"/>
        </w:rPr>
        <w:t xml:space="preserve">: Employee agrees that he will not, directly or indirectly, disparage or make negative remarks regarding Releasees or their products, services, agents, representatives, directors, officers, shareholders, attorneys, employees, vendors, affiliates, successors or assigns, or any person acting by, through, under or in concert with any of them, with any written or oral statement. The Company agrees that its current officers and directors, for so long as they are employed by or providing board service to the Company, will not disparage Employee with any written or oral statement. Nothing in this section shall prohibit Employee or the Company (including its current officers and directors) from providing truthful information in response to a subpoena or other legal process.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jc w:val="both"/>
        <w:rPr/>
      </w:pPr>
      <w:r>
        <w:rPr>
          <w:rFonts w:ascii="Times New Roman" w:hAnsi="Times New Roman"/>
          <w:b w:val="false"/>
          <w:color w:val="000000"/>
          <w:sz w:val="24"/>
          <w:u w:val="single"/>
        </w:rPr>
        <w:t>Review of Second Release; Expiration of Offer</w:t>
      </w:r>
      <w:r>
        <w:rPr>
          <w:rFonts w:ascii="Times New Roman" w:hAnsi="Times New Roman"/>
          <w:b w:val="false"/>
          <w:color w:val="000000"/>
          <w:sz w:val="24"/>
        </w:rPr>
        <w:t>: Employee understands that</w:t>
      </w:r>
    </w:p>
    <w:p>
      <w:pPr>
        <w:pStyle w:val="TextBody"/>
        <w:bidi w:val="0"/>
        <w:spacing w:before="0" w:after="261"/>
        <w:jc w:val="both"/>
        <w:rPr>
          <w:rFonts w:ascii="Times New Roman" w:hAnsi="Times New Roman"/>
          <w:sz w:val="20"/>
        </w:rPr>
      </w:pPr>
      <w:r>
        <w:rPr>
          <w:rFonts w:ascii="Times New Roman" w:hAnsi="Times New Roman"/>
          <w:b w:val="false"/>
          <w:color w:val="000000"/>
          <w:sz w:val="24"/>
        </w:rPr>
        <w:t>Employee may take up to twenty-one (21) days to consider this Second Release (the “</w:t>
      </w:r>
      <w:r>
        <w:rPr>
          <w:rFonts w:ascii="Times New Roman" w:hAnsi="Times New Roman"/>
          <w:b/>
          <w:i/>
          <w:color w:val="000000"/>
          <w:sz w:val="24"/>
        </w:rPr>
        <w:t>Consideration Period</w:t>
      </w:r>
      <w:r>
        <w:rPr>
          <w:rFonts w:ascii="Times New Roman" w:hAnsi="Times New Roman"/>
          <w:color w:val="000000"/>
          <w:sz w:val="20"/>
        </w:rPr>
        <w:t>”</w:t>
      </w:r>
      <w:r>
        <w:rPr>
          <w:rFonts w:ascii="Times New Roman" w:hAnsi="Times New Roman"/>
          <w:b w:val="false"/>
          <w:color w:val="000000"/>
          <w:sz w:val="24"/>
        </w:rPr>
        <w:t>). The offer set forth in this Second Release, if not accepted by Employee before the end of the Consideration Period, will automatically expire. By signing below, Employee affirms that Employee was advised to consult with an attorney prior to signing this Second Release. Employee also understands that Employee may revoke this Second Release within seven (7) days of signing this document and that the consideration to be provided to Employee pursuant to Paragraph 1(c) of the Separation Agreement will be provided only after the expiration of that seven (7) day revocation period.</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spacing w:before="0" w:after="261"/>
        <w:jc w:val="both"/>
        <w:rPr/>
      </w:pPr>
      <w:r>
        <w:rPr>
          <w:rFonts w:ascii="Times New Roman" w:hAnsi="Times New Roman"/>
          <w:b w:val="false"/>
          <w:color w:val="000000"/>
          <w:sz w:val="24"/>
          <w:u w:val="single"/>
        </w:rPr>
        <w:t>Effective Date</w:t>
      </w:r>
      <w:r>
        <w:rPr>
          <w:rFonts w:ascii="Times New Roman" w:hAnsi="Times New Roman"/>
          <w:b w:val="false"/>
          <w:color w:val="000000"/>
          <w:sz w:val="24"/>
        </w:rPr>
        <w:t>: This Second Release is effective on the eighth (8th) day after Employee signs it, provided Employee has not revoked it as of that time (the “</w:t>
      </w:r>
      <w:r>
        <w:rPr>
          <w:rFonts w:ascii="Times New Roman" w:hAnsi="Times New Roman"/>
          <w:b/>
          <w:i/>
          <w:color w:val="000000"/>
          <w:sz w:val="24"/>
        </w:rPr>
        <w:t>Effective Date</w:t>
      </w:r>
      <w:r>
        <w:rPr>
          <w:color w:val="000000"/>
        </w:rPr>
        <w:t>”</w:t>
      </w:r>
      <w:r>
        <w:rPr>
          <w:rFonts w:ascii="Times New Roman" w:hAnsi="Times New Roman"/>
          <w:b w:val="false"/>
          <w:color w:val="000000"/>
          <w:sz w:val="24"/>
        </w:rPr>
        <w:t xml:space="preserve">). </w:t>
      </w:r>
    </w:p>
    <w:p>
      <w:pPr>
        <w:pStyle w:val="TextBody"/>
        <w:bidi w:val="0"/>
        <w:jc w:val="center"/>
        <w:rPr>
          <w:rFonts w:ascii="Times New Roman" w:hAnsi="Times New Roman"/>
          <w:sz w:val="20"/>
        </w:rPr>
      </w:pPr>
      <w:r>
        <w:rPr>
          <w:rFonts w:ascii="Times New Roman" w:hAnsi="Times New Roman"/>
          <w:b w:val="false"/>
          <w:color w:val="000000"/>
          <w:sz w:val="24"/>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566"/>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spacing w:before="0" w:after="566"/>
        <w:jc w:val="both"/>
        <w:rPr/>
      </w:pPr>
      <w:r>
        <w:rPr>
          <w:rFonts w:ascii="Times New Roman" w:hAnsi="Times New Roman"/>
          <w:b w:val="false"/>
          <w:color w:val="000000"/>
          <w:sz w:val="24"/>
          <w:u w:val="single"/>
        </w:rPr>
        <w:t>Other Terms of Separation Agreement Incorporated Herein</w:t>
      </w:r>
      <w:r>
        <w:rPr>
          <w:rFonts w:ascii="Times New Roman" w:hAnsi="Times New Roman"/>
          <w:b w:val="false"/>
          <w:color w:val="000000"/>
          <w:sz w:val="24"/>
        </w:rPr>
        <w:t xml:space="preserve">: All other terms of the Separation Agreement to the extent not inconsistent with the terms of this Second Release are hereby incorporated in this Second Release as though fully stated herein and apply with equal force to this Second Release, including, without limitation, the provisions on Arbitration, Governing Law, and Attorneys’ Fees. </w:t>
      </w:r>
    </w:p>
    <w:p>
      <w:pPr>
        <w:pStyle w:val="TextBody"/>
        <w:bidi w:val="0"/>
        <w:spacing w:before="0" w:after="11"/>
        <w:jc w:val="left"/>
        <w:rPr>
          <w:rFonts w:ascii="Times New Roman" w:hAnsi="Times New Roman"/>
          <w:sz w:val="20"/>
        </w:rPr>
      </w:pPr>
      <w:r>
        <w:rPr>
          <w:rFonts w:ascii="Times New Roman" w:hAnsi="Times New Roman"/>
          <w:b w:val="false"/>
          <w:color w:val="000000"/>
          <w:sz w:val="24"/>
        </w:rPr>
        <w:t>Dated:</w:t>
      </w:r>
      <w:r>
        <w:rPr>
          <w:rFonts w:ascii="Times New Roman" w:hAnsi="Times New Roman"/>
          <w:color w:val="000000"/>
          <w:sz w:val="20"/>
        </w:rPr>
        <w:t xml:space="preserve"> </w:t>
      </w:r>
    </w:p>
    <w:p>
      <w:pPr>
        <w:pStyle w:val="TextBody"/>
        <w:bidi w:val="0"/>
        <w:spacing w:before="0" w:after="11"/>
        <w:jc w:val="both"/>
        <w:rPr>
          <w:rFonts w:ascii="Times New Roman" w:hAnsi="Times New Roman"/>
          <w:sz w:val="20"/>
        </w:rPr>
      </w:pPr>
      <w:r>
        <w:rPr>
          <w:rFonts w:ascii="Times New Roman" w:hAnsi="Times New Roman"/>
          <w:b w:val="false"/>
          <w:color w:val="000000"/>
          <w:sz w:val="24"/>
        </w:rPr>
        <w:t>Name: J Michael Dodson</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val="false"/>
          <w:color w:val="000000"/>
          <w:sz w:val="24"/>
        </w:rPr>
        <w:t>Title: Member, Board of Directors</w:t>
      </w:r>
      <w:r>
        <w:rPr>
          <w:rFonts w:ascii="Times New Roman" w:hAnsi="Times New Roman"/>
          <w:color w:val="000000"/>
          <w:sz w:val="20"/>
        </w:rPr>
        <w:t xml:space="preserve"> </w:t>
      </w:r>
    </w:p>
    <w:p>
      <w:pPr>
        <w:pStyle w:val="TextBody"/>
        <w:bidi w:val="0"/>
        <w:spacing w:before="0" w:after="499"/>
        <w:jc w:val="center"/>
        <w:rPr>
          <w:rFonts w:ascii="Times New Roman" w:hAnsi="Times New Roman"/>
          <w:sz w:val="20"/>
        </w:rPr>
      </w:pPr>
      <w:r>
        <w:rPr>
          <w:rFonts w:ascii="Times New Roman" w:hAnsi="Times New Roman"/>
          <w:b w:val="false"/>
          <w:color w:val="000000"/>
          <w:sz w:val="24"/>
        </w:rPr>
        <w:t>For the Company</w:t>
      </w:r>
      <w:r>
        <w:rPr>
          <w:rFonts w:ascii="Times New Roman" w:hAnsi="Times New Roman"/>
          <w:color w:val="000000"/>
          <w:sz w:val="20"/>
        </w:rPr>
        <w:t xml:space="preserve"> </w:t>
      </w:r>
    </w:p>
    <w:p>
      <w:pPr>
        <w:pStyle w:val="TextBody"/>
        <w:bidi w:val="0"/>
        <w:spacing w:before="0" w:after="11"/>
        <w:jc w:val="left"/>
        <w:rPr>
          <w:rFonts w:ascii="Times New Roman" w:hAnsi="Times New Roman"/>
          <w:sz w:val="20"/>
        </w:rPr>
      </w:pPr>
      <w:r>
        <w:rPr>
          <w:rFonts w:ascii="Times New Roman" w:hAnsi="Times New Roman"/>
          <w:b w:val="false"/>
          <w:color w:val="000000"/>
          <w:sz w:val="24"/>
        </w:rPr>
        <w:t>Dated:</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4"/>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55"/>
        <w:jc w:val="center"/>
        <w:rPr>
          <w:rFonts w:ascii="Times New Roman" w:hAnsi="Times New Roman"/>
          <w:sz w:val="20"/>
        </w:rPr>
      </w:pPr>
      <w:r>
        <w:rPr>
          <w:rFonts w:ascii="Times New Roman" w:hAnsi="Times New Roman"/>
          <w:b/>
          <w:color w:val="000000"/>
          <w:sz w:val="24"/>
          <w:u w:val="single"/>
        </w:rPr>
        <w:t>EXHIBIT B</w:t>
      </w:r>
      <w:r>
        <w:rPr>
          <w:rFonts w:ascii="Times New Roman" w:hAnsi="Times New Roman"/>
          <w:color w:val="000000"/>
          <w:sz w:val="20"/>
        </w:rPr>
        <w:t xml:space="preserve"> </w:t>
      </w:r>
    </w:p>
    <w:p>
      <w:pPr>
        <w:pStyle w:val="TextBody"/>
        <w:bidi w:val="0"/>
        <w:spacing w:before="0" w:after="27"/>
        <w:jc w:val="left"/>
        <w:rPr>
          <w:rFonts w:ascii="Times New Roman" w:hAnsi="Times New Roman"/>
          <w:sz w:val="20"/>
        </w:rPr>
      </w:pPr>
      <w:r>
        <w:rPr>
          <w:rFonts w:ascii="Times New Roman" w:hAnsi="Times New Roman"/>
          <w:b/>
          <w:color w:val="000000"/>
          <w:sz w:val="24"/>
        </w:rPr>
        <w:t>Confidential Information and Inventions Assignment Agreement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10"/>
        <w:jc w:val="center"/>
        <w:rPr>
          <w:rFonts w:ascii="Times New Roman" w:hAnsi="Times New Roman"/>
          <w:sz w:val="20"/>
        </w:rPr>
      </w:pPr>
      <w:r>
        <w:rPr>
          <w:rFonts w:ascii="Times New Roman" w:hAnsi="Times New Roman"/>
          <w:b w:val="false"/>
          <w:color w:val="000000"/>
          <w:sz w:val="24"/>
        </w:rPr>
        <w:t>August 10, 2023</w:t>
      </w:r>
      <w:r>
        <w:rPr>
          <w:rFonts w:ascii="Times New Roman" w:hAnsi="Times New Roman"/>
          <w:color w:val="000000"/>
          <w:sz w:val="20"/>
        </w:rPr>
        <w:t xml:space="preserve"> </w:t>
      </w:r>
    </w:p>
    <w:p>
      <w:pPr>
        <w:pStyle w:val="TextBody"/>
        <w:bidi w:val="0"/>
        <w:spacing w:before="0" w:after="216"/>
        <w:jc w:val="left"/>
        <w:rPr>
          <w:rFonts w:ascii="Times New Roman" w:hAnsi="Times New Roman"/>
          <w:sz w:val="20"/>
        </w:rPr>
      </w:pPr>
      <w:r>
        <w:rPr>
          <w:rFonts w:ascii="Times New Roman" w:hAnsi="Times New Roman"/>
          <w:b/>
          <w:color w:val="000000"/>
          <w:sz w:val="24"/>
          <w:u w:val="single"/>
        </w:rPr>
        <w:t>VIA DOCUSIGN</w:t>
      </w:r>
      <w:r>
        <w:rPr>
          <w:rFonts w:ascii="Times New Roman" w:hAnsi="Times New Roman"/>
          <w:color w:val="000000"/>
          <w:sz w:val="20"/>
        </w:rPr>
        <w:t xml:space="preserve"> </w:t>
      </w:r>
    </w:p>
    <w:p>
      <w:pPr>
        <w:pStyle w:val="TextBody"/>
        <w:bidi w:val="0"/>
        <w:spacing w:before="0" w:after="568"/>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222"/>
        <w:jc w:val="left"/>
        <w:rPr>
          <w:rFonts w:ascii="Times New Roman" w:hAnsi="Times New Roman"/>
          <w:sz w:val="20"/>
        </w:rPr>
      </w:pPr>
      <w:r>
        <w:rPr>
          <w:rFonts w:ascii="Times New Roman" w:hAnsi="Times New Roman"/>
          <w:b w:val="false"/>
          <w:color w:val="000000"/>
          <w:sz w:val="24"/>
        </w:rPr>
        <w:t xml:space="preserve">Re: </w:t>
      </w:r>
      <w:r>
        <w:rPr>
          <w:rFonts w:ascii="Times New Roman" w:hAnsi="Times New Roman"/>
          <w:b w:val="false"/>
          <w:color w:val="000000"/>
          <w:sz w:val="24"/>
          <w:u w:val="single"/>
        </w:rPr>
        <w:t>Amendment to Transition and Separation Agreement</w:t>
      </w:r>
      <w:r>
        <w:rPr>
          <w:rFonts w:ascii="Times New Roman" w:hAnsi="Times New Roman"/>
          <w:color w:val="000000"/>
          <w:sz w:val="20"/>
        </w:rPr>
        <w:t xml:space="preserve"> </w:t>
      </w:r>
    </w:p>
    <w:p>
      <w:pPr>
        <w:pStyle w:val="TextBody"/>
        <w:bidi w:val="0"/>
        <w:spacing w:before="0" w:after="227"/>
        <w:jc w:val="both"/>
        <w:rPr>
          <w:rFonts w:ascii="Times New Roman" w:hAnsi="Times New Roman"/>
          <w:sz w:val="20"/>
        </w:rPr>
      </w:pPr>
      <w:r>
        <w:rPr>
          <w:rFonts w:ascii="Times New Roman" w:hAnsi="Times New Roman"/>
          <w:b w:val="false"/>
          <w:color w:val="000000"/>
          <w:sz w:val="24"/>
        </w:rPr>
        <w:t>Dear Bill:</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This letter (the “</w:t>
      </w:r>
      <w:r>
        <w:rPr>
          <w:rFonts w:ascii="Times New Roman" w:hAnsi="Times New Roman"/>
          <w:b/>
          <w:i/>
          <w:color w:val="000000"/>
          <w:sz w:val="24"/>
        </w:rPr>
        <w:t>Amendment</w:t>
      </w:r>
      <w:r>
        <w:rPr>
          <w:rFonts w:ascii="Times New Roman" w:hAnsi="Times New Roman"/>
          <w:color w:val="000000"/>
          <w:sz w:val="20"/>
        </w:rPr>
        <w:t>”</w:t>
      </w:r>
      <w:r>
        <w:rPr>
          <w:rFonts w:ascii="Times New Roman" w:hAnsi="Times New Roman"/>
          <w:b w:val="false"/>
          <w:color w:val="000000"/>
          <w:sz w:val="24"/>
        </w:rPr>
        <w:t>) serves to partially amend the terms of your July 27, 2023 Transition and Separation Agreement by Energous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b w:val="false"/>
          <w:color w:val="000000"/>
          <w:sz w:val="24"/>
        </w:rPr>
        <w:t xml:space="preserve">), which is attached hereto as </w:t>
      </w:r>
      <w:r>
        <w:rPr>
          <w:rFonts w:ascii="Times New Roman" w:hAnsi="Times New Roman"/>
          <w:b w:val="false"/>
          <w:color w:val="000000"/>
          <w:sz w:val="24"/>
          <w:u w:val="single"/>
        </w:rPr>
        <w:t>Exhibit 1</w:t>
      </w:r>
      <w:r>
        <w:rPr>
          <w:rFonts w:ascii="Times New Roman" w:hAnsi="Times New Roman"/>
          <w:color w:val="000000"/>
          <w:sz w:val="20"/>
        </w:rPr>
        <w:t xml:space="preserve"> </w:t>
      </w:r>
      <w:r>
        <w:rPr>
          <w:rFonts w:ascii="Times New Roman" w:hAnsi="Times New Roman"/>
          <w:b w:val="false"/>
          <w:color w:val="000000"/>
          <w:sz w:val="24"/>
        </w:rPr>
        <w:t>(the “</w:t>
      </w:r>
      <w:r>
        <w:rPr>
          <w:rFonts w:ascii="Times New Roman" w:hAnsi="Times New Roman"/>
          <w:b/>
          <w:i/>
          <w:color w:val="000000"/>
          <w:sz w:val="24"/>
        </w:rPr>
        <w:t>Separation Agreement</w:t>
      </w:r>
      <w:r>
        <w:rPr>
          <w:rFonts w:ascii="Times New Roman" w:hAnsi="Times New Roman"/>
          <w:color w:val="000000"/>
          <w:sz w:val="20"/>
        </w:rPr>
        <w:t>”</w:t>
      </w:r>
      <w:r>
        <w:rPr>
          <w:rFonts w:ascii="Times New Roman" w:hAnsi="Times New Roman"/>
          <w:b w:val="false"/>
          <w:color w:val="000000"/>
          <w:sz w:val="24"/>
        </w:rPr>
        <w:t>). Effective as of the Effective Date (defined below), you and the Company hereby agree as follows:</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jc w:val="both"/>
        <w:rPr/>
      </w:pPr>
      <w:r>
        <w:rPr>
          <w:rFonts w:ascii="Times New Roman" w:hAnsi="Times New Roman"/>
          <w:b/>
          <w:color w:val="000000"/>
          <w:sz w:val="24"/>
          <w:u w:val="single"/>
        </w:rPr>
        <w:t>Amendment and Restatement of Section 5(a) of the Separation Agreement</w:t>
      </w:r>
      <w:r>
        <w:rPr>
          <w:rFonts w:ascii="Times New Roman" w:hAnsi="Times New Roman"/>
          <w:b w:val="false"/>
          <w:color w:val="000000"/>
          <w:sz w:val="24"/>
        </w:rPr>
        <w:t>.</w:t>
      </w:r>
    </w:p>
    <w:p>
      <w:pPr>
        <w:pStyle w:val="TextBody"/>
        <w:bidi w:val="0"/>
        <w:spacing w:before="0" w:after="233"/>
        <w:jc w:val="both"/>
        <w:rPr>
          <w:rFonts w:ascii="Times New Roman" w:hAnsi="Times New Roman"/>
          <w:sz w:val="20"/>
        </w:rPr>
      </w:pPr>
      <w:r>
        <w:rPr>
          <w:rFonts w:ascii="Times New Roman" w:hAnsi="Times New Roman"/>
          <w:b w:val="false"/>
          <w:color w:val="000000"/>
          <w:sz w:val="24"/>
        </w:rPr>
        <w:t>Section 5(a) of the Separation Agreement is hereby amended and restated in its entirety to read as follows:</w:t>
      </w:r>
      <w:r>
        <w:rPr>
          <w:rFonts w:ascii="Times New Roman" w:hAnsi="Times New Roman"/>
          <w:color w:val="000000"/>
          <w:sz w:val="20"/>
        </w:rPr>
        <w:t xml:space="preserve"> </w:t>
      </w:r>
    </w:p>
    <w:p>
      <w:pPr>
        <w:pStyle w:val="TextBody"/>
        <w:bidi w:val="0"/>
        <w:spacing w:before="0" w:after="245"/>
        <w:jc w:val="left"/>
        <w:rPr/>
      </w:pPr>
      <w:r>
        <w:rPr>
          <w:color w:val="000000"/>
        </w:rPr>
        <w:t>“</w:t>
      </w:r>
      <w:r>
        <w:rPr>
          <w:rFonts w:ascii="Times New Roman" w:hAnsi="Times New Roman"/>
          <w:b/>
          <w:color w:val="000000"/>
          <w:sz w:val="24"/>
          <w:u w:val="single"/>
        </w:rPr>
        <w:t>Restricted Stock Units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(a) Pursuant to the Company’s 2013 Equity Incentive Plan (as amended from</w:t>
      </w:r>
    </w:p>
    <w:p>
      <w:pPr>
        <w:pStyle w:val="TextBody"/>
        <w:bidi w:val="0"/>
        <w:spacing w:before="0" w:after="261"/>
        <w:jc w:val="both"/>
        <w:rPr>
          <w:rFonts w:ascii="Times New Roman" w:hAnsi="Times New Roman"/>
          <w:sz w:val="20"/>
        </w:rPr>
      </w:pPr>
      <w:r>
        <w:rPr>
          <w:rFonts w:ascii="Times New Roman" w:hAnsi="Times New Roman"/>
          <w:b w:val="false"/>
          <w:color w:val="000000"/>
          <w:sz w:val="24"/>
        </w:rPr>
        <w:t>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b w:val="false"/>
          <w:color w:val="000000"/>
          <w:sz w:val="24"/>
        </w:rPr>
        <w:t>), you were granted (a) a restricted stock unit award settleable for 30,000 shares of Common Stock on March 21, 2021 (the “</w:t>
      </w:r>
      <w:r>
        <w:rPr>
          <w:rFonts w:ascii="Times New Roman" w:hAnsi="Times New Roman"/>
          <w:b/>
          <w:i/>
          <w:color w:val="000000"/>
          <w:sz w:val="24"/>
        </w:rPr>
        <w:t>First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March 21, 2021 (the “</w:t>
      </w:r>
      <w:r>
        <w:rPr>
          <w:rFonts w:ascii="Times New Roman" w:hAnsi="Times New Roman"/>
          <w:b/>
          <w:i/>
          <w:color w:val="000000"/>
          <w:sz w:val="24"/>
        </w:rPr>
        <w:t>First RSU Agreement</w:t>
      </w:r>
      <w:r>
        <w:rPr>
          <w:rFonts w:ascii="Times New Roman" w:hAnsi="Times New Roman"/>
          <w:color w:val="000000"/>
          <w:sz w:val="20"/>
        </w:rPr>
        <w:t>”</w:t>
      </w:r>
      <w:r>
        <w:rPr>
          <w:rFonts w:ascii="Times New Roman" w:hAnsi="Times New Roman"/>
          <w:b w:val="false"/>
          <w:color w:val="000000"/>
          <w:sz w:val="24"/>
        </w:rPr>
        <w:t>), of which 27,500 shares have vested, and 2,500 shares remain unvested as of the date of this Agreement; (b) a restricted stock unit award settleable for 60,000 shares of Common Stock on October 17, 2021 (the “</w:t>
      </w:r>
      <w:r>
        <w:rPr>
          <w:rFonts w:ascii="Times New Roman" w:hAnsi="Times New Roman"/>
          <w:b/>
          <w:i/>
          <w:color w:val="000000"/>
          <w:sz w:val="24"/>
        </w:rPr>
        <w:t>Second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October 17, 2021 (the “</w:t>
      </w:r>
      <w:r>
        <w:rPr>
          <w:rFonts w:ascii="Times New Roman" w:hAnsi="Times New Roman"/>
          <w:b/>
          <w:i/>
          <w:color w:val="000000"/>
          <w:sz w:val="24"/>
        </w:rPr>
        <w:t>Second RSU Agreement</w:t>
      </w:r>
      <w:r>
        <w:rPr>
          <w:rFonts w:ascii="Times New Roman" w:hAnsi="Times New Roman"/>
          <w:color w:val="000000"/>
          <w:sz w:val="20"/>
        </w:rPr>
        <w:t>”</w:t>
      </w:r>
      <w:r>
        <w:rPr>
          <w:rFonts w:ascii="Times New Roman" w:hAnsi="Times New Roman"/>
          <w:b w:val="false"/>
          <w:color w:val="000000"/>
          <w:sz w:val="24"/>
        </w:rPr>
        <w:t>), of which 35,000 shares have vested, and 25,000 shares remain unvested as of the date of this Agreement; (c) a restricted stock unit award settleable for 25,000 shares of Common Stock on October 17, 2021 (the “</w:t>
      </w:r>
      <w:r>
        <w:rPr>
          <w:rFonts w:ascii="Times New Roman" w:hAnsi="Times New Roman"/>
          <w:b/>
          <w:i/>
          <w:color w:val="000000"/>
          <w:sz w:val="24"/>
        </w:rPr>
        <w:t>Third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October 17, 2021 (the “</w:t>
      </w:r>
      <w:r>
        <w:rPr>
          <w:rFonts w:ascii="Times New Roman" w:hAnsi="Times New Roman"/>
          <w:b/>
          <w:i/>
          <w:color w:val="000000"/>
          <w:sz w:val="24"/>
        </w:rPr>
        <w:t>Third RSU Agreement</w:t>
      </w:r>
      <w:r>
        <w:rPr>
          <w:rFonts w:ascii="Times New Roman" w:hAnsi="Times New Roman"/>
          <w:color w:val="000000"/>
          <w:sz w:val="20"/>
        </w:rPr>
        <w:t>”</w:t>
      </w:r>
      <w:r>
        <w:rPr>
          <w:rFonts w:ascii="Times New Roman" w:hAnsi="Times New Roman"/>
          <w:b w:val="false"/>
          <w:color w:val="000000"/>
          <w:sz w:val="24"/>
        </w:rPr>
        <w:t>), of which no shares have vested, and 25,000 shares remain unvested as of the date of this Agreement; and (d) a restricted stock unit award settleable for 90,000 shares of Common Stock on May 31, 2022 (the “</w:t>
      </w:r>
      <w:r>
        <w:rPr>
          <w:rFonts w:ascii="Times New Roman" w:hAnsi="Times New Roman"/>
          <w:b/>
          <w:i/>
          <w:color w:val="000000"/>
          <w:sz w:val="24"/>
        </w:rPr>
        <w:t>Fourth RSU</w:t>
      </w:r>
      <w:r>
        <w:rPr>
          <w:rFonts w:ascii="Times New Roman" w:hAnsi="Times New Roman"/>
          <w:color w:val="000000"/>
          <w:sz w:val="20"/>
        </w:rPr>
        <w:t>”</w:t>
      </w:r>
      <w:r>
        <w:rPr>
          <w:rFonts w:ascii="Times New Roman" w:hAnsi="Times New Roman"/>
          <w:b w:val="false"/>
          <w:color w:val="000000"/>
          <w:sz w:val="24"/>
        </w:rPr>
        <w:t>, and together with the First RSU, the Second RSU, and the Third RSU, the “</w:t>
      </w:r>
      <w:r>
        <w:rPr>
          <w:rFonts w:ascii="Times New Roman" w:hAnsi="Times New Roman"/>
          <w:b/>
          <w:i/>
          <w:color w:val="000000"/>
          <w:sz w:val="24"/>
        </w:rPr>
        <w:t>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May 31, 2022 (the “</w:t>
      </w:r>
      <w:r>
        <w:rPr>
          <w:rFonts w:ascii="Times New Roman" w:hAnsi="Times New Roman"/>
          <w:b/>
          <w:i/>
          <w:color w:val="000000"/>
          <w:sz w:val="24"/>
        </w:rPr>
        <w:t>Fourth RSU Agreement</w:t>
      </w:r>
      <w:r>
        <w:rPr>
          <w:rFonts w:ascii="Times New Roman" w:hAnsi="Times New Roman"/>
          <w:color w:val="000000"/>
          <w:sz w:val="20"/>
        </w:rPr>
        <w:t>”</w:t>
      </w:r>
      <w:r>
        <w:rPr>
          <w:rFonts w:ascii="Times New Roman" w:hAnsi="Times New Roman"/>
          <w:b w:val="false"/>
          <w:color w:val="000000"/>
          <w:sz w:val="24"/>
        </w:rPr>
        <w:t>, and together with the First RSU Agreement, the Second RSU Agreement, and the Third RSU Agreement, the “</w:t>
      </w:r>
      <w:r>
        <w:rPr>
          <w:rFonts w:ascii="Times New Roman" w:hAnsi="Times New Roman"/>
          <w:b/>
          <w:i/>
          <w:color w:val="000000"/>
          <w:sz w:val="24"/>
        </w:rPr>
        <w:t>RSU Agreements</w:t>
      </w:r>
      <w:r>
        <w:rPr>
          <w:rFonts w:ascii="Times New Roman" w:hAnsi="Times New Roman"/>
          <w:color w:val="000000"/>
          <w:sz w:val="20"/>
        </w:rPr>
        <w:t>”</w:t>
      </w:r>
      <w:r>
        <w:rPr>
          <w:rFonts w:ascii="Times New Roman" w:hAnsi="Times New Roman"/>
          <w:b w:val="false"/>
          <w:color w:val="000000"/>
          <w:sz w:val="24"/>
        </w:rPr>
        <w:t>), of which 45,000 have vested, and 45,000 shares remain unvested as of the date of this Agreement. As of the date of this Agreement, a total of 107,500 shares underlying the RSU have vested, and a total of 97,500 shares remain unvested (the “</w:t>
      </w:r>
      <w:r>
        <w:rPr>
          <w:rFonts w:ascii="Times New Roman" w:hAnsi="Times New Roman"/>
          <w:b/>
          <w:i/>
          <w:color w:val="000000"/>
          <w:sz w:val="24"/>
        </w:rPr>
        <w:t>Unvested RSU</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61"/>
        <w:jc w:val="both"/>
        <w:rPr/>
      </w:pPr>
      <w:r>
        <w:rPr>
          <w:rFonts w:ascii="Times New Roman" w:hAnsi="Times New Roman"/>
          <w:b/>
          <w:color w:val="000000"/>
          <w:sz w:val="24"/>
          <w:u w:val="single"/>
        </w:rPr>
        <w:t>Entire Agreement</w:t>
      </w:r>
      <w:r>
        <w:rPr>
          <w:rFonts w:ascii="Times New Roman" w:hAnsi="Times New Roman"/>
          <w:b w:val="false"/>
          <w:color w:val="000000"/>
          <w:sz w:val="24"/>
        </w:rPr>
        <w:t xml:space="preserve">. Once accepted, this Amendment, together with the Separation Agreement, constitute the entire agreement between you and the Company with respect to the subject matter hereof and supersedes, in relevant part, all prior negotiations and agreements, if any,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61"/>
        <w:jc w:val="both"/>
        <w:rPr/>
      </w:pPr>
      <w:r>
        <w:rPr>
          <w:rFonts w:ascii="Times New Roman" w:hAnsi="Times New Roman"/>
          <w:b w:val="false"/>
          <w:color w:val="000000"/>
          <w:sz w:val="24"/>
        </w:rPr>
        <w:t>whether written or oral, relating to such subject matter. You acknowledge that neither the Company nor its agents have made any promise, representation or warranty whatsoever, either express or implied, written or oral, which is not contained in this Amendment for the purpose of inducing you to execute this Amendment, and you acknowledge that you have executed this Amendment in reliance only upon such promises, representations and warranties as are contained herein.</w:t>
      </w:r>
      <w:r>
        <w:rPr>
          <w:color w:val="00000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61"/>
        <w:jc w:val="both"/>
        <w:rPr/>
      </w:pPr>
      <w:r>
        <w:rPr>
          <w:rFonts w:ascii="Times New Roman" w:hAnsi="Times New Roman"/>
          <w:b/>
          <w:color w:val="000000"/>
          <w:sz w:val="24"/>
          <w:u w:val="single"/>
        </w:rPr>
        <w:t>Modification</w:t>
      </w:r>
      <w:r>
        <w:rPr>
          <w:rFonts w:ascii="Times New Roman" w:hAnsi="Times New Roman"/>
          <w:b w:val="false"/>
          <w:color w:val="000000"/>
          <w:sz w:val="24"/>
        </w:rPr>
        <w:t xml:space="preserve">. It is expressly agreed that the terms of this Amendment may not be altered, amended, modified, or otherwise changed in any respect except by another written agreement that specifically refers to this Amendment, executed by you and the Company.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61"/>
        <w:jc w:val="both"/>
        <w:rPr/>
      </w:pPr>
      <w:r>
        <w:rPr>
          <w:rFonts w:ascii="Times New Roman" w:hAnsi="Times New Roman"/>
          <w:b/>
          <w:color w:val="000000"/>
          <w:sz w:val="24"/>
          <w:u w:val="single"/>
        </w:rPr>
        <w:t>No Other Changes to Separation Agreement</w:t>
      </w:r>
      <w:r>
        <w:rPr>
          <w:rFonts w:ascii="Times New Roman" w:hAnsi="Times New Roman"/>
          <w:b w:val="false"/>
          <w:color w:val="000000"/>
          <w:sz w:val="24"/>
        </w:rPr>
        <w:t xml:space="preserve">. Except as expressly modified by this Amendment, all other terms and conditions of the Separation Agreement shall remain in full force and effect. In the event of a conflict between this Amendment and the Separation Agreement, the terms and conditions of the Amendment will govern. </w:t>
      </w:r>
    </w:p>
    <w:p>
      <w:pPr>
        <w:pStyle w:val="TextBody"/>
        <w:bidi w:val="0"/>
        <w:spacing w:before="0" w:after="720"/>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720"/>
        <w:jc w:val="both"/>
        <w:rPr/>
      </w:pPr>
      <w:r>
        <w:rPr>
          <w:rFonts w:ascii="Times New Roman" w:hAnsi="Times New Roman"/>
          <w:b/>
          <w:color w:val="000000"/>
          <w:sz w:val="24"/>
          <w:u w:val="single"/>
        </w:rPr>
        <w:t>Effective Date</w:t>
      </w:r>
      <w:r>
        <w:rPr>
          <w:rFonts w:ascii="Times New Roman" w:hAnsi="Times New Roman"/>
          <w:b w:val="false"/>
          <w:color w:val="000000"/>
          <w:sz w:val="24"/>
        </w:rPr>
        <w:t>. This Amendment and the terms contained herein are effective on the date it is signed by both parties (the “</w:t>
      </w:r>
      <w:r>
        <w:rPr>
          <w:rFonts w:ascii="Times New Roman" w:hAnsi="Times New Roman"/>
          <w:b/>
          <w:i/>
          <w:color w:val="000000"/>
          <w:sz w:val="24"/>
        </w:rPr>
        <w:t>Effective Date</w:t>
      </w:r>
      <w:r>
        <w:rPr>
          <w:color w:val="000000"/>
        </w:rPr>
        <w:t>”</w:t>
      </w:r>
      <w:r>
        <w:rPr>
          <w:rFonts w:ascii="Times New Roman" w:hAnsi="Times New Roman"/>
          <w:b w:val="false"/>
          <w:color w:val="000000"/>
          <w:sz w:val="24"/>
        </w:rPr>
        <w:t xml:space="preserve">). </w:t>
      </w:r>
    </w:p>
    <w:p>
      <w:pPr>
        <w:pStyle w:val="TextBody"/>
        <w:bidi w:val="0"/>
        <w:spacing w:before="0" w:after="210"/>
        <w:jc w:val="center"/>
        <w:rPr>
          <w:rFonts w:ascii="Times New Roman" w:hAnsi="Times New Roman"/>
          <w:sz w:val="20"/>
        </w:rPr>
      </w:pPr>
      <w:r>
        <w:rPr>
          <w:rFonts w:ascii="Times New Roman" w:hAnsi="Times New Roman"/>
          <w:b w:val="false"/>
          <w:color w:val="000000"/>
          <w:sz w:val="24"/>
        </w:rPr>
        <w:t>Sincerely,</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val="false"/>
          <w:color w:val="000000"/>
          <w:sz w:val="24"/>
        </w:rPr>
        <w:t>Energous Corporation</w:t>
      </w:r>
      <w:r>
        <w:rPr>
          <w:rFonts w:ascii="Times New Roman" w:hAnsi="Times New Roman"/>
          <w:color w:val="000000"/>
          <w:sz w:val="20"/>
        </w:rPr>
        <w:t xml:space="preserve"> </w:t>
      </w:r>
    </w:p>
    <w:p>
      <w:pPr>
        <w:pStyle w:val="TextBody"/>
        <w:bidi w:val="0"/>
        <w:spacing w:before="0" w:after="126"/>
        <w:jc w:val="center"/>
        <w:rPr>
          <w:rFonts w:ascii="Times New Roman" w:hAnsi="Times New Roman"/>
          <w:b w:val="false"/>
          <w:color w:val="000000"/>
          <w:sz w:val="24"/>
        </w:rPr>
      </w:pPr>
      <w:r>
        <w:rPr>
          <w:rFonts w:ascii="Times New Roman" w:hAnsi="Times New Roman"/>
          <w:b w:val="false"/>
          <w:color w:val="000000"/>
          <w:sz w:val="24"/>
        </w:rPr>
        <w:t>/s/ J. Michael Dodson</w:t>
      </w:r>
    </w:p>
    <w:p>
      <w:pPr>
        <w:pStyle w:val="TextBody"/>
        <w:bidi w:val="0"/>
        <w:spacing w:before="0" w:after="3"/>
        <w:jc w:val="center"/>
        <w:rPr>
          <w:rFonts w:ascii="Times New Roman" w:hAnsi="Times New Roman"/>
          <w:sz w:val="20"/>
        </w:rPr>
      </w:pPr>
      <w:r>
        <w:rPr>
          <w:rFonts w:ascii="Times New Roman" w:hAnsi="Times New Roman"/>
          <w:b w:val="false"/>
          <w:color w:val="000000"/>
          <w:sz w:val="24"/>
        </w:rPr>
        <w:t>J Michael Dodson</w:t>
      </w:r>
      <w:r>
        <w:rPr>
          <w:rFonts w:ascii="Times New Roman" w:hAnsi="Times New Roman"/>
          <w:color w:val="000000"/>
          <w:sz w:val="20"/>
        </w:rPr>
        <w:t xml:space="preserve"> </w:t>
      </w:r>
    </w:p>
    <w:p>
      <w:pPr>
        <w:pStyle w:val="TextBody"/>
        <w:bidi w:val="0"/>
        <w:spacing w:before="0" w:after="486"/>
        <w:jc w:val="center"/>
        <w:rPr>
          <w:rFonts w:ascii="Times New Roman" w:hAnsi="Times New Roman"/>
          <w:sz w:val="20"/>
        </w:rPr>
      </w:pPr>
      <w:r>
        <w:rPr>
          <w:rFonts w:ascii="Times New Roman" w:hAnsi="Times New Roman"/>
          <w:b w:val="false"/>
          <w:color w:val="000000"/>
          <w:sz w:val="24"/>
        </w:rPr>
        <w:t>Member, Board of Directors</w:t>
      </w:r>
      <w:r>
        <w:rPr>
          <w:rFonts w:ascii="Times New Roman" w:hAnsi="Times New Roman"/>
          <w:color w:val="000000"/>
          <w:sz w:val="20"/>
        </w:rPr>
        <w:t xml:space="preserve"> </w:t>
      </w:r>
    </w:p>
    <w:p>
      <w:pPr>
        <w:pStyle w:val="TextBody"/>
        <w:bidi w:val="0"/>
        <w:spacing w:before="0" w:after="720"/>
        <w:jc w:val="left"/>
        <w:rPr>
          <w:rFonts w:ascii="Times New Roman" w:hAnsi="Times New Roman"/>
          <w:sz w:val="20"/>
        </w:rPr>
      </w:pPr>
      <w:r>
        <w:rPr>
          <w:rFonts w:ascii="Times New Roman" w:hAnsi="Times New Roman"/>
          <w:b w:val="false"/>
          <w:color w:val="000000"/>
          <w:sz w:val="24"/>
        </w:rPr>
        <w:t>I have read and understand this Amendment and hereby acknowledge, accept and agree to the terms set forth above, and further acknowledge that no other commitments were made to me as part of this Amendment except as specifically set forth herein.</w:t>
      </w:r>
      <w:r>
        <w:rPr>
          <w:rFonts w:ascii="Times New Roman" w:hAnsi="Times New Roman"/>
          <w:color w:val="000000"/>
          <w:sz w:val="20"/>
        </w:rPr>
        <w:t xml:space="preserve"> </w:t>
      </w:r>
    </w:p>
    <w:p>
      <w:pPr>
        <w:pStyle w:val="TextBody"/>
        <w:bidi w:val="0"/>
        <w:spacing w:before="0" w:after="579"/>
        <w:jc w:val="both"/>
        <w:rPr>
          <w:rFonts w:ascii="Times New Roman" w:hAnsi="Times New Roman"/>
          <w:sz w:val="20"/>
        </w:rPr>
      </w:pPr>
      <w:r>
        <w:rPr>
          <w:rFonts w:ascii="Times New Roman" w:hAnsi="Times New Roman"/>
          <w:b w:val="false"/>
          <w:color w:val="000000"/>
          <w:sz w:val="24"/>
        </w:rPr>
        <w:t>ACCEPTED:</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/s/ William (Bill) Mannina</w:t>
      </w:r>
    </w:p>
    <w:p>
      <w:pPr>
        <w:pStyle w:val="TextBody"/>
        <w:bidi w:val="0"/>
        <w:spacing w:before="0" w:after="6"/>
        <w:jc w:val="left"/>
        <w:rPr>
          <w:rFonts w:ascii="Times New Roman" w:hAnsi="Times New Roman"/>
          <w:b w:val="false"/>
          <w:color w:val="000000"/>
          <w:sz w:val="24"/>
        </w:rPr>
      </w:pPr>
      <w:r>
        <w:rPr>
          <w:rFonts w:ascii="Times New Roman" w:hAnsi="Times New Roman"/>
          <w:b w:val="false"/>
          <w:color w:val="000000"/>
          <w:sz w:val="24"/>
        </w:rPr>
        <w:t>Date: 08/14/2023</w:t>
      </w:r>
    </w:p>
    <w:p>
      <w:pPr>
        <w:pStyle w:val="TextBody"/>
        <w:bidi w:val="0"/>
        <w:spacing w:before="0" w:after="720"/>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3"/>
        <w:jc w:val="center"/>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16"/>
        <w:jc w:val="center"/>
        <w:rPr>
          <w:rFonts w:ascii="Times New Roman" w:hAnsi="Times New Roman"/>
          <w:sz w:val="20"/>
        </w:rPr>
      </w:pPr>
      <w:r>
        <w:rPr>
          <w:rFonts w:ascii="Times New Roman" w:hAnsi="Times New Roman"/>
          <w:b/>
          <w:color w:val="000000"/>
          <w:sz w:val="24"/>
          <w:u w:val="single"/>
        </w:rPr>
        <w:t>EXHIBIT 1</w:t>
      </w:r>
      <w:r>
        <w:rPr>
          <w:rFonts w:ascii="Times New Roman" w:hAnsi="Times New Roman"/>
          <w:color w:val="000000"/>
          <w:sz w:val="20"/>
        </w:rPr>
        <w:t xml:space="preserve"> </w:t>
      </w:r>
    </w:p>
    <w:p>
      <w:pPr>
        <w:pStyle w:val="TextBody"/>
        <w:bidi w:val="0"/>
        <w:spacing w:before="0" w:after="27"/>
        <w:jc w:val="left"/>
        <w:rPr>
          <w:rFonts w:ascii="Times New Roman" w:hAnsi="Times New Roman"/>
          <w:sz w:val="20"/>
        </w:rPr>
      </w:pPr>
      <w:r>
        <w:rPr>
          <w:rFonts w:ascii="Times New Roman" w:hAnsi="Times New Roman"/>
          <w:b/>
          <w:color w:val="000000"/>
          <w:sz w:val="24"/>
        </w:rPr>
        <w:t>SEPARATION AGREEMENT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522"/>
        <w:jc w:val="center"/>
        <w:rPr>
          <w:rFonts w:ascii="Times New Roman" w:hAnsi="Times New Roman"/>
          <w:sz w:val="20"/>
        </w:rPr>
      </w:pPr>
      <w:r>
        <w:rPr>
          <w:rFonts w:ascii="Times New Roman" w:hAnsi="Times New Roman"/>
          <w:b w:val="false"/>
          <w:color w:val="000000"/>
          <w:sz w:val="24"/>
        </w:rPr>
        <w:t>July 27, 2023</w:t>
      </w:r>
      <w:r>
        <w:rPr>
          <w:rFonts w:ascii="Times New Roman" w:hAnsi="Times New Roman"/>
          <w:color w:val="000000"/>
          <w:sz w:val="20"/>
        </w:rPr>
        <w:t xml:space="preserve"> </w:t>
      </w:r>
    </w:p>
    <w:p>
      <w:pPr>
        <w:pStyle w:val="TextBody"/>
        <w:bidi w:val="0"/>
        <w:spacing w:before="0" w:after="252"/>
        <w:jc w:val="left"/>
        <w:rPr>
          <w:rFonts w:ascii="Times New Roman" w:hAnsi="Times New Roman"/>
          <w:sz w:val="20"/>
        </w:rPr>
      </w:pPr>
      <w:r>
        <w:rPr>
          <w:rFonts w:ascii="Times New Roman" w:hAnsi="Times New Roman"/>
          <w:b/>
          <w:i/>
          <w:color w:val="000000"/>
          <w:sz w:val="24"/>
        </w:rPr>
        <w:t>Via Email</w:t>
      </w:r>
      <w:r>
        <w:rPr>
          <w:rFonts w:ascii="Times New Roman" w:hAnsi="Times New Roman"/>
          <w:color w:val="000000"/>
          <w:sz w:val="20"/>
        </w:rPr>
        <w:t xml:space="preserve"> </w:t>
      </w:r>
    </w:p>
    <w:p>
      <w:pPr>
        <w:pStyle w:val="TextBody"/>
        <w:bidi w:val="0"/>
        <w:spacing w:before="0" w:after="292"/>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255"/>
        <w:jc w:val="left"/>
        <w:rPr>
          <w:rFonts w:ascii="Times New Roman" w:hAnsi="Times New Roman"/>
          <w:sz w:val="20"/>
        </w:rPr>
      </w:pPr>
      <w:r>
        <w:rPr>
          <w:rFonts w:ascii="Times New Roman" w:hAnsi="Times New Roman"/>
          <w:b w:val="false"/>
          <w:color w:val="000000"/>
          <w:sz w:val="24"/>
        </w:rPr>
        <w:t xml:space="preserve">Re: </w:t>
      </w:r>
      <w:r>
        <w:rPr>
          <w:rFonts w:ascii="Times New Roman" w:hAnsi="Times New Roman"/>
          <w:b w:val="false"/>
          <w:color w:val="000000"/>
          <w:sz w:val="24"/>
          <w:u w:val="single"/>
        </w:rPr>
        <w:t>Terms of Transition and Separation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Dear Bill:</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This letter confirms the agreement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b w:val="false"/>
          <w:color w:val="000000"/>
          <w:sz w:val="24"/>
        </w:rPr>
        <w:t>) between you and Energous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b w:val="false"/>
          <w:color w:val="000000"/>
          <w:sz w:val="24"/>
        </w:rPr>
        <w:t>) concerning the terms of your transition and separation from employment and offers you certain benefits to which you would not otherwise be entitled, conditioned upon your provision of a general release of claims and covenant not to sue now and upon the Separation Date (defined below) as provided herein. If you agree to the terms outlined herein, please sign and return this Agreement to me in the timeframe outlined below.</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jc w:val="both"/>
        <w:rPr/>
      </w:pPr>
      <w:r>
        <w:rPr>
          <w:rFonts w:ascii="Times New Roman" w:hAnsi="Times New Roman"/>
          <w:b w:val="false"/>
          <w:color w:val="000000"/>
          <w:sz w:val="24"/>
          <w:u w:val="single"/>
        </w:rPr>
        <w:t>Continued Employment; Other Release Consideration</w:t>
      </w:r>
      <w:r>
        <w:rPr>
          <w:rFonts w:ascii="Times New Roman" w:hAnsi="Times New Roman"/>
          <w:b w:val="false"/>
          <w:color w:val="000000"/>
          <w:sz w:val="24"/>
        </w:rPr>
        <w:t>: In exchange for your</w:t>
      </w:r>
    </w:p>
    <w:p>
      <w:pPr>
        <w:pStyle w:val="TextBody"/>
        <w:bidi w:val="0"/>
        <w:spacing w:before="0" w:after="261"/>
        <w:jc w:val="both"/>
        <w:rPr>
          <w:rFonts w:ascii="Times New Roman" w:hAnsi="Times New Roman"/>
          <w:sz w:val="20"/>
        </w:rPr>
      </w:pPr>
      <w:r>
        <w:rPr>
          <w:rFonts w:ascii="Times New Roman" w:hAnsi="Times New Roman"/>
          <w:b w:val="false"/>
          <w:color w:val="000000"/>
          <w:sz w:val="24"/>
        </w:rPr>
        <w:t>agreement to the general release and waiver of claims and covenant not to sue set forth below and your other promises herein, the Company agrees to continue your employment on the following terms: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pPr>
      <w:r>
        <w:rPr>
          <w:rFonts w:ascii="Times New Roman" w:hAnsi="Times New Roman"/>
          <w:b w:val="false"/>
          <w:color w:val="000000"/>
          <w:sz w:val="24"/>
          <w:u w:val="single"/>
        </w:rPr>
        <w:t>Separation Date; Transition Period and Services</w:t>
      </w:r>
      <w:r>
        <w:rPr>
          <w:rFonts w:ascii="Times New Roman" w:hAnsi="Times New Roman"/>
          <w:b w:val="false"/>
          <w:color w:val="000000"/>
          <w:sz w:val="24"/>
        </w:rPr>
        <w:t>: Your last day of</w:t>
      </w:r>
    </w:p>
    <w:p>
      <w:pPr>
        <w:pStyle w:val="TextBody"/>
        <w:bidi w:val="0"/>
        <w:spacing w:before="0" w:after="261"/>
        <w:jc w:val="both"/>
        <w:rPr>
          <w:rFonts w:ascii="Times New Roman" w:hAnsi="Times New Roman"/>
          <w:sz w:val="20"/>
        </w:rPr>
      </w:pPr>
      <w:r>
        <w:rPr>
          <w:rFonts w:ascii="Times New Roman" w:hAnsi="Times New Roman"/>
          <w:b w:val="false"/>
          <w:color w:val="000000"/>
          <w:sz w:val="24"/>
        </w:rPr>
        <w:t>employment with the Company will be August 16, 2023 (the “</w:t>
      </w:r>
      <w:r>
        <w:rPr>
          <w:rFonts w:ascii="Times New Roman" w:hAnsi="Times New Roman"/>
          <w:b/>
          <w:i/>
          <w:color w:val="000000"/>
          <w:sz w:val="24"/>
        </w:rPr>
        <w:t>Separation Date</w:t>
      </w:r>
      <w:r>
        <w:rPr>
          <w:rFonts w:ascii="Times New Roman" w:hAnsi="Times New Roman"/>
          <w:color w:val="000000"/>
          <w:sz w:val="20"/>
        </w:rPr>
        <w:t>”</w:t>
      </w:r>
      <w:r>
        <w:rPr>
          <w:rFonts w:ascii="Times New Roman" w:hAnsi="Times New Roman"/>
          <w:b w:val="false"/>
          <w:color w:val="000000"/>
          <w:sz w:val="24"/>
        </w:rPr>
        <w:t>). Between now and the Separation Date (the “</w:t>
      </w:r>
      <w:r>
        <w:rPr>
          <w:rFonts w:ascii="Times New Roman" w:hAnsi="Times New Roman"/>
          <w:b/>
          <w:i/>
          <w:color w:val="000000"/>
          <w:sz w:val="24"/>
        </w:rPr>
        <w:t>Transition Period</w:t>
      </w:r>
      <w:r>
        <w:rPr>
          <w:rFonts w:ascii="Times New Roman" w:hAnsi="Times New Roman"/>
          <w:color w:val="000000"/>
          <w:sz w:val="20"/>
        </w:rPr>
        <w:t>”</w:t>
      </w:r>
      <w:r>
        <w:rPr>
          <w:rFonts w:ascii="Times New Roman" w:hAnsi="Times New Roman"/>
          <w:b w:val="false"/>
          <w:color w:val="000000"/>
          <w:sz w:val="24"/>
        </w:rPr>
        <w:t>), you agree to carry out the duties and responsibilities of your position as directed principally by the Company’s executive leadership, including its interim CFO, and to provide other transition services as may reasonably be requested by the Company, including, without limitation, (i) transition of the responsibilities, duties, and knowledge relative to your position, and (ii) if requested by the Company, execution of the Company’s August 2023 10-Q financial statement, providing you shall not be required to sign the 2023 10-Q unless you believe the 10-Q and the required attestations are accurate (the “</w:t>
      </w:r>
      <w:r>
        <w:rPr>
          <w:rFonts w:ascii="Times New Roman" w:hAnsi="Times New Roman"/>
          <w:b/>
          <w:i/>
          <w:color w:val="000000"/>
          <w:sz w:val="24"/>
        </w:rPr>
        <w:t>Transition Services</w:t>
      </w:r>
      <w:r>
        <w:rPr>
          <w:rFonts w:ascii="Times New Roman" w:hAnsi="Times New Roman"/>
          <w:color w:val="000000"/>
          <w:sz w:val="20"/>
        </w:rPr>
        <w:t>”</w:t>
      </w:r>
      <w:r>
        <w:rPr>
          <w:rFonts w:ascii="Times New Roman" w:hAnsi="Times New Roman"/>
          <w:b w:val="false"/>
          <w:color w:val="000000"/>
          <w:sz w:val="24"/>
        </w:rPr>
        <w:t>). During the Transition Period, you will primarily work remotely and come into the Company’s San Jose, California headquarters only when and as requested by the new interim CFO. By signing below, you hereby resign, effective as of the Separation Date, from all officer positions of the Company that you may hold, including, without limitation, the position of Acting Chief Financial Officer of the Company.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pPr>
      <w:r>
        <w:rPr>
          <w:rFonts w:ascii="Times New Roman" w:hAnsi="Times New Roman"/>
          <w:b w:val="false"/>
          <w:color w:val="000000"/>
          <w:sz w:val="24"/>
          <w:u w:val="single"/>
        </w:rPr>
        <w:t>Compensation and Benefits</w:t>
      </w:r>
      <w:r>
        <w:rPr>
          <w:rFonts w:ascii="Times New Roman" w:hAnsi="Times New Roman"/>
          <w:b w:val="false"/>
          <w:color w:val="000000"/>
          <w:sz w:val="24"/>
        </w:rPr>
        <w:t>: During the Transition Period, the Company</w:t>
      </w:r>
    </w:p>
    <w:p>
      <w:pPr>
        <w:pStyle w:val="TextBody"/>
        <w:bidi w:val="0"/>
        <w:spacing w:before="0" w:after="261"/>
        <w:jc w:val="both"/>
        <w:rPr>
          <w:rFonts w:ascii="Times New Roman" w:hAnsi="Times New Roman"/>
          <w:sz w:val="20"/>
        </w:rPr>
      </w:pPr>
      <w:r>
        <w:rPr>
          <w:rFonts w:ascii="Times New Roman" w:hAnsi="Times New Roman"/>
          <w:b w:val="false"/>
          <w:color w:val="000000"/>
          <w:sz w:val="24"/>
        </w:rPr>
        <w:t>will continue to pay you your current base salary and you will continue to be eligible to participate in benefits customarily afforded to other employees, including participation in the Company-</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2</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sponsored health benefits plan and continued vesting of options, to the fullest extent allowed by the governing plans, agreements, or policies.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pPr>
      <w:r>
        <w:rPr>
          <w:rFonts w:ascii="Times New Roman" w:hAnsi="Times New Roman"/>
          <w:b w:val="false"/>
          <w:color w:val="000000"/>
          <w:sz w:val="24"/>
          <w:u w:val="single"/>
        </w:rPr>
        <w:t>Separation Compensation</w:t>
      </w:r>
      <w:r>
        <w:rPr>
          <w:rFonts w:ascii="Times New Roman" w:hAnsi="Times New Roman"/>
          <w:b w:val="false"/>
          <w:color w:val="000000"/>
          <w:sz w:val="24"/>
        </w:rPr>
        <w:t>: Provided that you adequately provide the</w:t>
      </w:r>
    </w:p>
    <w:p>
      <w:pPr>
        <w:pStyle w:val="TextBody"/>
        <w:bidi w:val="0"/>
        <w:spacing w:before="0" w:after="261"/>
        <w:jc w:val="both"/>
        <w:rPr>
          <w:rFonts w:ascii="Times New Roman" w:hAnsi="Times New Roman"/>
          <w:sz w:val="20"/>
        </w:rPr>
      </w:pPr>
      <w:r>
        <w:rPr>
          <w:rFonts w:ascii="Times New Roman" w:hAnsi="Times New Roman"/>
          <w:b w:val="false"/>
          <w:color w:val="000000"/>
          <w:sz w:val="24"/>
        </w:rPr>
        <w:t>Transition Services, then in exchange for your agreement to the general release and waiver of claims and covenant not to sue in this Agreement and as</w:t>
      </w:r>
      <w:r>
        <w:rPr>
          <w:rFonts w:ascii="Times New Roman" w:hAnsi="Times New Roman"/>
          <w:color w:val="000000"/>
          <w:sz w:val="20"/>
          <w:u w:val="single"/>
        </w:rPr>
        <w:t xml:space="preserve"> </w:t>
      </w:r>
      <w:r>
        <w:rPr>
          <w:rFonts w:ascii="Times New Roman" w:hAnsi="Times New Roman"/>
          <w:b w:val="false"/>
          <w:color w:val="000000"/>
          <w:sz w:val="24"/>
        </w:rPr>
        <w:t>set forth in Exhibit A (the “</w:t>
      </w:r>
      <w:r>
        <w:rPr>
          <w:rFonts w:ascii="Times New Roman" w:hAnsi="Times New Roman"/>
          <w:b/>
          <w:i/>
          <w:color w:val="000000"/>
          <w:sz w:val="24"/>
        </w:rPr>
        <w:t>Second Release</w:t>
      </w:r>
      <w:r>
        <w:rPr>
          <w:rFonts w:ascii="Times New Roman" w:hAnsi="Times New Roman"/>
          <w:color w:val="000000"/>
          <w:sz w:val="20"/>
        </w:rPr>
        <w:t>”</w:t>
      </w:r>
      <w:r>
        <w:rPr>
          <w:rFonts w:ascii="Times New Roman" w:hAnsi="Times New Roman"/>
          <w:b w:val="false"/>
          <w:color w:val="000000"/>
          <w:sz w:val="24"/>
        </w:rPr>
        <w:t xml:space="preserve">), </w:t>
      </w:r>
      <w:r>
        <w:rPr>
          <w:rFonts w:ascii="Times New Roman" w:hAnsi="Times New Roman"/>
          <w:b w:val="false"/>
          <w:color w:val="000000"/>
          <w:sz w:val="24"/>
          <w:u w:val="single"/>
        </w:rPr>
        <w:t>to</w:t>
      </w:r>
      <w:r>
        <w:rPr>
          <w:rFonts w:ascii="Times New Roman" w:hAnsi="Times New Roman"/>
          <w:color w:val="000000"/>
          <w:sz w:val="20"/>
        </w:rPr>
        <w:t xml:space="preserve"> </w:t>
      </w:r>
      <w:r>
        <w:rPr>
          <w:rFonts w:ascii="Times New Roman" w:hAnsi="Times New Roman"/>
          <w:b w:val="false"/>
          <w:color w:val="000000"/>
          <w:sz w:val="24"/>
          <w:u w:val="single"/>
        </w:rPr>
        <w:t>be signed no earlier than the Separation Date,</w:t>
      </w:r>
      <w:r>
        <w:rPr>
          <w:rFonts w:ascii="Times New Roman" w:hAnsi="Times New Roman"/>
          <w:color w:val="000000"/>
          <w:sz w:val="20"/>
        </w:rPr>
        <w:t xml:space="preserve"> </w:t>
      </w:r>
      <w:r>
        <w:rPr>
          <w:rFonts w:ascii="Times New Roman" w:hAnsi="Times New Roman"/>
          <w:b w:val="false"/>
          <w:color w:val="000000"/>
          <w:sz w:val="24"/>
        </w:rPr>
        <w:t>and your other promises herein, the Company agrees as follows:</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u w:val="single"/>
        </w:rPr>
      </w:pPr>
      <w:r>
        <w:rPr>
          <w:rFonts w:ascii="Times New Roman" w:hAnsi="Times New Roman"/>
          <w:b w:val="false"/>
          <w:color w:val="000000"/>
          <w:sz w:val="24"/>
          <w:u w:val="single"/>
        </w:rPr>
        <w:t>i.</w:t>
      </w:r>
    </w:p>
    <w:p>
      <w:pPr>
        <w:pStyle w:val="TextBody"/>
        <w:bidi w:val="0"/>
        <w:jc w:val="right"/>
        <w:rPr/>
      </w:pPr>
      <w:r>
        <w:rPr>
          <w:rFonts w:ascii="Times New Roman" w:hAnsi="Times New Roman"/>
          <w:b w:val="false"/>
          <w:color w:val="000000"/>
          <w:sz w:val="24"/>
          <w:u w:val="single"/>
        </w:rPr>
        <w:t>Severance</w:t>
      </w:r>
      <w:r>
        <w:rPr>
          <w:rFonts w:ascii="Times New Roman" w:hAnsi="Times New Roman"/>
          <w:b w:val="false"/>
          <w:color w:val="000000"/>
          <w:sz w:val="24"/>
        </w:rPr>
        <w:t>: The Company agrees to pay you, in regular bi-weekly</w:t>
      </w:r>
    </w:p>
    <w:p>
      <w:pPr>
        <w:pStyle w:val="TextBody"/>
        <w:bidi w:val="0"/>
        <w:spacing w:before="0" w:after="261"/>
        <w:jc w:val="both"/>
        <w:rPr>
          <w:rFonts w:ascii="Times New Roman" w:hAnsi="Times New Roman"/>
          <w:sz w:val="20"/>
        </w:rPr>
      </w:pPr>
      <w:r>
        <w:rPr>
          <w:rFonts w:ascii="Times New Roman" w:hAnsi="Times New Roman"/>
          <w:b w:val="false"/>
          <w:color w:val="000000"/>
          <w:sz w:val="24"/>
        </w:rPr>
        <w:t>installments consistent with the Company’s regular payroll schedule, your regular base salary (as of the Separation Date, which base salary shall not be reduced from the base salary you are receiving on the date you sign this Agreement) for nine (9) months following the Separation Date. The first severance payment will commence on the Company’s first regularly payroll schedule following the Effective Date of the Second Release (as provided therein) (the “</w:t>
      </w:r>
      <w:r>
        <w:rPr>
          <w:rFonts w:ascii="Times New Roman" w:hAnsi="Times New Roman"/>
          <w:b/>
          <w:i/>
          <w:color w:val="000000"/>
          <w:sz w:val="24"/>
        </w:rPr>
        <w:t>First Severance Payment</w:t>
      </w:r>
      <w:r>
        <w:rPr>
          <w:rFonts w:ascii="Times New Roman" w:hAnsi="Times New Roman"/>
          <w:color w:val="000000"/>
          <w:sz w:val="20"/>
        </w:rPr>
        <w:t>”</w:t>
      </w:r>
      <w:r>
        <w:rPr>
          <w:rFonts w:ascii="Times New Roman" w:hAnsi="Times New Roman"/>
          <w:b w:val="false"/>
          <w:color w:val="000000"/>
          <w:sz w:val="24"/>
        </w:rPr>
        <w:t>), provided that, the First Severance Payment shall include any amounts that would otherwise have been payable to you during such time period between the Separation Date and First Severance Payment.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u w:val="single"/>
        </w:rPr>
      </w:pPr>
      <w:r>
        <w:rPr>
          <w:rFonts w:ascii="Times New Roman" w:hAnsi="Times New Roman"/>
          <w:b w:val="false"/>
          <w:color w:val="000000"/>
          <w:sz w:val="24"/>
          <w:u w:val="single"/>
        </w:rPr>
        <w:t>ii.</w:t>
      </w:r>
    </w:p>
    <w:p>
      <w:pPr>
        <w:pStyle w:val="TextBody"/>
        <w:bidi w:val="0"/>
        <w:jc w:val="right"/>
        <w:rPr/>
      </w:pPr>
      <w:r>
        <w:rPr>
          <w:rFonts w:ascii="Times New Roman" w:hAnsi="Times New Roman"/>
          <w:b w:val="false"/>
          <w:color w:val="000000"/>
          <w:sz w:val="24"/>
          <w:u w:val="single"/>
        </w:rPr>
        <w:t>COBRA</w:t>
      </w:r>
      <w:r>
        <w:rPr>
          <w:rFonts w:ascii="Times New Roman" w:hAnsi="Times New Roman"/>
          <w:b w:val="false"/>
          <w:color w:val="000000"/>
          <w:sz w:val="24"/>
        </w:rPr>
        <w:t>: Upon your timely election to continue your existing health</w:t>
      </w:r>
    </w:p>
    <w:p>
      <w:pPr>
        <w:pStyle w:val="TextBody"/>
        <w:bidi w:val="0"/>
        <w:spacing w:before="0" w:after="261"/>
        <w:jc w:val="both"/>
        <w:rPr>
          <w:rFonts w:ascii="Times New Roman" w:hAnsi="Times New Roman"/>
          <w:sz w:val="20"/>
        </w:rPr>
      </w:pPr>
      <w:r>
        <w:rPr>
          <w:rFonts w:ascii="Times New Roman" w:hAnsi="Times New Roman"/>
          <w:b w:val="false"/>
          <w:color w:val="000000"/>
          <w:sz w:val="24"/>
        </w:rPr>
        <w:t>benefits under COBRA, and consistent with the terms of COBRA and the Company’s health insurance plan, the Company will pay the insurance premiums to continue your existing health benefits for nine (9) months following the Separation Date. You will remain responsible for, and must continue to pay, the portion of premiums, co-payments, etc. that you would have paid had your employment continued.</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u w:val="single"/>
        </w:rPr>
      </w:pPr>
      <w:r>
        <w:rPr>
          <w:rFonts w:ascii="Times New Roman" w:hAnsi="Times New Roman"/>
          <w:b w:val="false"/>
          <w:color w:val="000000"/>
          <w:sz w:val="24"/>
          <w:u w:val="single"/>
        </w:rPr>
        <w:t>iii.</w:t>
      </w:r>
    </w:p>
    <w:p>
      <w:pPr>
        <w:pStyle w:val="TextBody"/>
        <w:bidi w:val="0"/>
        <w:jc w:val="right"/>
        <w:rPr/>
      </w:pPr>
      <w:r>
        <w:rPr>
          <w:rFonts w:ascii="Times New Roman" w:hAnsi="Times New Roman"/>
          <w:b w:val="false"/>
          <w:color w:val="000000"/>
          <w:sz w:val="24"/>
          <w:u w:val="single"/>
        </w:rPr>
        <w:t>Restricted Stock Unit Vesting Credit</w:t>
      </w:r>
      <w:r>
        <w:rPr>
          <w:rFonts w:ascii="Times New Roman" w:hAnsi="Times New Roman"/>
          <w:b w:val="false"/>
          <w:color w:val="000000"/>
          <w:sz w:val="24"/>
        </w:rPr>
        <w:t>: The Company will provide,</w:t>
      </w:r>
    </w:p>
    <w:p>
      <w:pPr>
        <w:pStyle w:val="TextBody"/>
        <w:bidi w:val="0"/>
        <w:spacing w:before="0" w:after="261"/>
        <w:jc w:val="both"/>
        <w:rPr>
          <w:rFonts w:ascii="Times New Roman" w:hAnsi="Times New Roman"/>
          <w:sz w:val="20"/>
        </w:rPr>
      </w:pPr>
      <w:r>
        <w:rPr>
          <w:rFonts w:ascii="Times New Roman" w:hAnsi="Times New Roman"/>
          <w:b w:val="false"/>
          <w:color w:val="000000"/>
          <w:sz w:val="24"/>
        </w:rPr>
        <w:t>and you will receive, additional restricted stock unit vesting credit, as described in Paragraph 5, below.</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u w:val="single"/>
        </w:rPr>
      </w:pPr>
      <w:r>
        <w:rPr>
          <w:rFonts w:ascii="Times New Roman" w:hAnsi="Times New Roman"/>
          <w:b w:val="false"/>
          <w:color w:val="000000"/>
          <w:sz w:val="24"/>
          <w:u w:val="single"/>
        </w:rPr>
        <w:t>iv.</w:t>
      </w:r>
    </w:p>
    <w:p>
      <w:pPr>
        <w:pStyle w:val="TextBody"/>
        <w:bidi w:val="0"/>
        <w:jc w:val="right"/>
        <w:rPr/>
      </w:pPr>
      <w:r>
        <w:rPr>
          <w:rFonts w:ascii="Times New Roman" w:hAnsi="Times New Roman"/>
          <w:b w:val="false"/>
          <w:color w:val="000000"/>
          <w:sz w:val="24"/>
          <w:u w:val="single"/>
        </w:rPr>
        <w:t>Reimbursement of Attorneys’ Fees</w:t>
      </w:r>
      <w:r>
        <w:rPr>
          <w:rFonts w:ascii="Times New Roman" w:hAnsi="Times New Roman"/>
          <w:b w:val="false"/>
          <w:color w:val="000000"/>
          <w:sz w:val="24"/>
        </w:rPr>
        <w:t>: The Company will reimburse</w:t>
      </w:r>
    </w:p>
    <w:p>
      <w:pPr>
        <w:pStyle w:val="TextBody"/>
        <w:bidi w:val="0"/>
        <w:spacing w:before="0" w:after="261"/>
        <w:jc w:val="both"/>
        <w:rPr>
          <w:rFonts w:ascii="Times New Roman" w:hAnsi="Times New Roman"/>
          <w:sz w:val="20"/>
        </w:rPr>
      </w:pPr>
      <w:r>
        <w:rPr>
          <w:rFonts w:ascii="Times New Roman" w:hAnsi="Times New Roman"/>
          <w:b w:val="false"/>
          <w:color w:val="000000"/>
          <w:sz w:val="24"/>
        </w:rPr>
        <w:t>you up to Twenty-Five Thousand Dollars ($25,000) for reasonable legal fees incurred by you directly in connection with the negotiation and execution of this Agreement, through a payment to the Law Offices of Jotham S. Stein, P.C. (“</w:t>
      </w:r>
      <w:r>
        <w:rPr>
          <w:rFonts w:ascii="Times New Roman" w:hAnsi="Times New Roman"/>
          <w:b/>
          <w:i/>
          <w:color w:val="000000"/>
          <w:sz w:val="24"/>
        </w:rPr>
        <w:t>Stein</w:t>
      </w:r>
      <w:r>
        <w:rPr>
          <w:rFonts w:ascii="Times New Roman" w:hAnsi="Times New Roman"/>
          <w:color w:val="000000"/>
          <w:sz w:val="20"/>
        </w:rPr>
        <w:t>”</w:t>
      </w:r>
      <w:r>
        <w:rPr>
          <w:rFonts w:ascii="Times New Roman" w:hAnsi="Times New Roman"/>
          <w:b w:val="false"/>
          <w:color w:val="000000"/>
          <w:sz w:val="24"/>
        </w:rPr>
        <w:t>) and for which the Company will issue to you and to Stein an IRS form 1099-MISC in that amount. You agree to submit no later than ten (10) business days following the Effective Date of the Second Release (as defined therein) reasonable written proof of having incurred such fees, and the Company shall issue payment to Stein for such documented legal fees no later than ten (10) business days following receipt of such documentation.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By signing below, you acknowledge that you are receiving the release consideration outlined in this paragraph in consideration for waiving your rights to claims referred to in this Agreement (and the Second Release) and that you would not otherwise be entitled to the release consideration.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During the Transition Period, the Company shall not terminate your employment for any reason other than Cause. For purposes of this Agreement, “Cause” shall mean only (i) your</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3</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conviction of a felony crime, (ii) your material breach of your Confidential Information and Inventions Assignment Agreement which causes material economic harm to the Company, or (iii) your repeated and willful refusal to provide reasonable and legal Transition Services to the Company, providing that your employment may not be terminated for Cause under (ii) and (iii) above unless the Company first gives you written notice of all the facts why Cause exists and provides you at least fifteen (15) business days to cure the alleged facts giving rise to Cause, and further providing that if you cure, Cause shall not exist under the applicable subsection.</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jc w:val="both"/>
        <w:rPr/>
      </w:pPr>
      <w:r>
        <w:rPr>
          <w:rFonts w:ascii="Times New Roman" w:hAnsi="Times New Roman"/>
          <w:b w:val="false"/>
          <w:color w:val="000000"/>
          <w:sz w:val="24"/>
          <w:u w:val="single"/>
        </w:rPr>
        <w:t>Final Pay</w:t>
      </w:r>
      <w:r>
        <w:rPr>
          <w:rFonts w:ascii="Times New Roman" w:hAnsi="Times New Roman"/>
          <w:b w:val="false"/>
          <w:color w:val="000000"/>
          <w:sz w:val="24"/>
        </w:rPr>
        <w:t xml:space="preserve">: On or before the Separation Date, the Company will pay you for all wages, salary, bonuses, commissions, reimbursable expenses previously submitted by you, accrued vacation (if applicable) and any similar payments due you from the Company as of your separation from employment. By signing below, you acknowledge and agree that (a) you have received your H1 2023 management performance bonus in the amount approved by the Board, and </w:t>
      </w:r>
    </w:p>
    <w:p>
      <w:pPr>
        <w:pStyle w:val="TextBody"/>
        <w:bidi w:val="0"/>
        <w:spacing w:before="0" w:after="288"/>
        <w:jc w:val="left"/>
        <w:rPr>
          <w:rFonts w:ascii="Times New Roman" w:hAnsi="Times New Roman"/>
          <w:b w:val="false"/>
          <w:color w:val="000000"/>
          <w:sz w:val="22"/>
        </w:rPr>
      </w:pPr>
      <w:r>
        <w:rPr>
          <w:rFonts w:ascii="Times New Roman" w:hAnsi="Times New Roman"/>
          <w:b w:val="false"/>
          <w:color w:val="000000"/>
          <w:sz w:val="22"/>
        </w:rPr>
        <w:t>(b) the Company does not now, and will not in the future, owe you any other bonus payment or other variable compensation.</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61"/>
        <w:jc w:val="both"/>
        <w:rPr/>
      </w:pPr>
      <w:r>
        <w:rPr>
          <w:rFonts w:ascii="Times New Roman" w:hAnsi="Times New Roman"/>
          <w:b w:val="false"/>
          <w:color w:val="000000"/>
          <w:sz w:val="24"/>
          <w:u w:val="single"/>
        </w:rPr>
        <w:t>Return of Company Property</w:t>
      </w:r>
      <w:r>
        <w:rPr>
          <w:rFonts w:ascii="Times New Roman" w:hAnsi="Times New Roman"/>
          <w:b w:val="false"/>
          <w:color w:val="000000"/>
          <w:sz w:val="24"/>
        </w:rPr>
        <w:t xml:space="preserve">: You hereby warrant to the Company that, no later than the Separation Date, you will return to the Company all property or data of the Company of any type whatsoever that has been in your possession or control.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61"/>
        <w:jc w:val="both"/>
        <w:rPr/>
      </w:pPr>
      <w:r>
        <w:rPr>
          <w:rFonts w:ascii="Times New Roman" w:hAnsi="Times New Roman"/>
          <w:b w:val="false"/>
          <w:color w:val="000000"/>
          <w:sz w:val="24"/>
          <w:u w:val="single"/>
        </w:rPr>
        <w:t>Post-Employment Obligations</w:t>
      </w:r>
      <w:r>
        <w:rPr>
          <w:rFonts w:ascii="Times New Roman" w:hAnsi="Times New Roman"/>
          <w:b w:val="false"/>
          <w:color w:val="000000"/>
          <w:sz w:val="24"/>
        </w:rPr>
        <w:t>: You hereby acknowledge that: (a) you continue to be bound by the attached Confidential Information and Inventions Assignment Agreement (</w:t>
      </w:r>
      <w:r>
        <w:rPr>
          <w:rFonts w:ascii="Times New Roman" w:hAnsi="Times New Roman"/>
          <w:b w:val="false"/>
          <w:color w:val="000000"/>
          <w:sz w:val="24"/>
          <w:u w:val="single"/>
        </w:rPr>
        <w:t>Exhibit</w:t>
      </w:r>
      <w:r>
        <w:rPr>
          <w:color w:val="000000"/>
        </w:rPr>
        <w:t xml:space="preserve"> </w:t>
      </w:r>
      <w:r>
        <w:rPr>
          <w:rFonts w:ascii="Times New Roman" w:hAnsi="Times New Roman"/>
          <w:b w:val="false"/>
          <w:color w:val="000000"/>
          <w:sz w:val="24"/>
          <w:u w:val="single"/>
        </w:rPr>
        <w:t>B</w:t>
      </w:r>
      <w:r>
        <w:rPr>
          <w:color w:val="000000"/>
        </w:rPr>
        <w:t xml:space="preserve"> </w:t>
      </w:r>
      <w:r>
        <w:rPr>
          <w:rFonts w:ascii="Times New Roman" w:hAnsi="Times New Roman"/>
          <w:b w:val="false"/>
          <w:color w:val="000000"/>
          <w:sz w:val="24"/>
        </w:rPr>
        <w:t xml:space="preserve">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255"/>
        <w:jc w:val="both"/>
        <w:rPr/>
      </w:pPr>
      <w:r>
        <w:rPr>
          <w:rFonts w:ascii="Times New Roman" w:hAnsi="Times New Roman"/>
          <w:b w:val="false"/>
          <w:color w:val="000000"/>
          <w:sz w:val="24"/>
          <w:u w:val="single"/>
        </w:rPr>
        <w:t>Restricted Stock Units</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Pursuant to the Company’s 2013 Equity Incentive Plan (as amended from</w:t>
      </w:r>
    </w:p>
    <w:p>
      <w:pPr>
        <w:pStyle w:val="TextBody"/>
        <w:bidi w:val="0"/>
        <w:jc w:val="both"/>
        <w:rPr>
          <w:rFonts w:ascii="Times New Roman" w:hAnsi="Times New Roman"/>
          <w:sz w:val="20"/>
        </w:rPr>
      </w:pPr>
      <w:r>
        <w:rPr>
          <w:rFonts w:ascii="Times New Roman" w:hAnsi="Times New Roman"/>
          <w:b w:val="false"/>
          <w:color w:val="000000"/>
          <w:sz w:val="24"/>
        </w:rPr>
        <w:t>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b w:val="false"/>
          <w:color w:val="000000"/>
          <w:sz w:val="24"/>
        </w:rPr>
        <w:t>), you were granted (a) a restricted stock unit award settleable for 30,000 shares of Common Stock on March 21, 2021 (the “</w:t>
      </w:r>
      <w:r>
        <w:rPr>
          <w:rFonts w:ascii="Times New Roman" w:hAnsi="Times New Roman"/>
          <w:b/>
          <w:i/>
          <w:color w:val="000000"/>
          <w:sz w:val="24"/>
        </w:rPr>
        <w:t>First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March 21, 2021 (the “</w:t>
      </w:r>
      <w:r>
        <w:rPr>
          <w:rFonts w:ascii="Times New Roman" w:hAnsi="Times New Roman"/>
          <w:b/>
          <w:i/>
          <w:color w:val="000000"/>
          <w:sz w:val="24"/>
        </w:rPr>
        <w:t>First RSU Agreement</w:t>
      </w:r>
      <w:r>
        <w:rPr>
          <w:rFonts w:ascii="Times New Roman" w:hAnsi="Times New Roman"/>
          <w:color w:val="000000"/>
          <w:sz w:val="20"/>
        </w:rPr>
        <w:t>”</w:t>
      </w:r>
      <w:r>
        <w:rPr>
          <w:rFonts w:ascii="Times New Roman" w:hAnsi="Times New Roman"/>
          <w:b w:val="false"/>
          <w:color w:val="000000"/>
          <w:sz w:val="24"/>
        </w:rPr>
        <w:t>), of which 27,500 shares have vested, and 2,500 shares remain unvested as of the date of this Agreement; (b) a restricted stock unit award settleable for 60,000 shares of Common Stock on October 17, 2021 (the “</w:t>
      </w:r>
      <w:r>
        <w:rPr>
          <w:rFonts w:ascii="Times New Roman" w:hAnsi="Times New Roman"/>
          <w:b/>
          <w:i/>
          <w:color w:val="000000"/>
          <w:sz w:val="24"/>
        </w:rPr>
        <w:t>Second 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October 17, 2021 (the “</w:t>
      </w:r>
      <w:r>
        <w:rPr>
          <w:rFonts w:ascii="Times New Roman" w:hAnsi="Times New Roman"/>
          <w:b/>
          <w:i/>
          <w:color w:val="000000"/>
          <w:sz w:val="24"/>
        </w:rPr>
        <w:t>Second RSU Agreement</w:t>
      </w:r>
      <w:r>
        <w:rPr>
          <w:rFonts w:ascii="Times New Roman" w:hAnsi="Times New Roman"/>
          <w:color w:val="000000"/>
          <w:sz w:val="20"/>
        </w:rPr>
        <w:t>”</w:t>
      </w:r>
      <w:r>
        <w:rPr>
          <w:rFonts w:ascii="Times New Roman" w:hAnsi="Times New Roman"/>
          <w:b w:val="false"/>
          <w:color w:val="000000"/>
          <w:sz w:val="24"/>
        </w:rPr>
        <w:t>), of which 35,000 shares have vested, and 25,000 shares remain unvested as of the date of this Agreement; (c) a restricted stock unit award settleable for 25,000 shares of Common Stock on October 17, 2021 (the “</w:t>
      </w:r>
      <w:r>
        <w:rPr>
          <w:rFonts w:ascii="Times New Roman" w:hAnsi="Times New Roman"/>
          <w:b/>
          <w:i/>
          <w:color w:val="000000"/>
          <w:sz w:val="24"/>
        </w:rPr>
        <w:t>Third RSU</w:t>
      </w:r>
      <w:r>
        <w:rPr>
          <w:rFonts w:ascii="Times New Roman" w:hAnsi="Times New Roman"/>
          <w:color w:val="000000"/>
          <w:sz w:val="20"/>
        </w:rPr>
        <w:t>”</w:t>
      </w:r>
      <w:r>
        <w:rPr>
          <w:rFonts w:ascii="Times New Roman" w:hAnsi="Times New Roman"/>
          <w:b w:val="false"/>
          <w:color w:val="000000"/>
          <w:sz w:val="24"/>
        </w:rPr>
        <w:t>), as evidenced by the Restricted Stock Unit Award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4"/>
        </w:rPr>
        <w:t>Agreement between you and the Company dated October 17, 2021 (the “</w:t>
      </w:r>
      <w:r>
        <w:rPr>
          <w:rFonts w:ascii="Times New Roman" w:hAnsi="Times New Roman"/>
          <w:b/>
          <w:i/>
          <w:color w:val="000000"/>
          <w:sz w:val="24"/>
        </w:rPr>
        <w:t>Third RSU Agreement</w:t>
      </w:r>
      <w:r>
        <w:rPr>
          <w:rFonts w:ascii="Times New Roman" w:hAnsi="Times New Roman"/>
          <w:color w:val="000000"/>
          <w:sz w:val="20"/>
        </w:rPr>
        <w:t>”</w:t>
      </w:r>
      <w:r>
        <w:rPr>
          <w:rFonts w:ascii="Times New Roman" w:hAnsi="Times New Roman"/>
          <w:b w:val="false"/>
          <w:color w:val="000000"/>
          <w:sz w:val="24"/>
        </w:rPr>
        <w:t>), of which no shares have vested, and 25,000 shares remain unvested as of the date of this Agreement; and (d) a restricted stock unit award settleable for 90,000 shares of Common Stock on</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4</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4"/>
        </w:rPr>
        <w:t>May 31, 2022 (the “</w:t>
      </w:r>
      <w:r>
        <w:rPr>
          <w:rFonts w:ascii="Times New Roman" w:hAnsi="Times New Roman"/>
          <w:b/>
          <w:i/>
          <w:color w:val="000000"/>
          <w:sz w:val="24"/>
        </w:rPr>
        <w:t>Fourth RSU</w:t>
      </w:r>
      <w:r>
        <w:rPr>
          <w:rFonts w:ascii="Times New Roman" w:hAnsi="Times New Roman"/>
          <w:color w:val="000000"/>
          <w:sz w:val="20"/>
        </w:rPr>
        <w:t>”</w:t>
      </w:r>
      <w:r>
        <w:rPr>
          <w:rFonts w:ascii="Times New Roman" w:hAnsi="Times New Roman"/>
          <w:b w:val="false"/>
          <w:color w:val="000000"/>
          <w:sz w:val="24"/>
        </w:rPr>
        <w:t>, and together with the First RSU, the Second RSU, and the Third RSU, the “</w:t>
      </w:r>
      <w:r>
        <w:rPr>
          <w:rFonts w:ascii="Times New Roman" w:hAnsi="Times New Roman"/>
          <w:b/>
          <w:i/>
          <w:color w:val="000000"/>
          <w:sz w:val="24"/>
        </w:rPr>
        <w:t>RSU</w:t>
      </w:r>
      <w:r>
        <w:rPr>
          <w:rFonts w:ascii="Times New Roman" w:hAnsi="Times New Roman"/>
          <w:color w:val="000000"/>
          <w:sz w:val="20"/>
        </w:rPr>
        <w:t>”</w:t>
      </w:r>
      <w:r>
        <w:rPr>
          <w:rFonts w:ascii="Times New Roman" w:hAnsi="Times New Roman"/>
          <w:b w:val="false"/>
          <w:color w:val="000000"/>
          <w:sz w:val="24"/>
        </w:rPr>
        <w:t>), as evidenced by the Restricted Stock Unit Award Agreement between you and the Company dated May 31, 2022 (the “</w:t>
      </w:r>
      <w:r>
        <w:rPr>
          <w:rFonts w:ascii="Times New Roman" w:hAnsi="Times New Roman"/>
          <w:b/>
          <w:i/>
          <w:color w:val="000000"/>
          <w:sz w:val="24"/>
        </w:rPr>
        <w:t>Fourth RSU Agreement</w:t>
      </w:r>
      <w:r>
        <w:rPr>
          <w:rFonts w:ascii="Times New Roman" w:hAnsi="Times New Roman"/>
          <w:color w:val="000000"/>
          <w:sz w:val="20"/>
        </w:rPr>
        <w:t>”</w:t>
      </w:r>
      <w:r>
        <w:rPr>
          <w:rFonts w:ascii="Times New Roman" w:hAnsi="Times New Roman"/>
          <w:b w:val="false"/>
          <w:color w:val="000000"/>
          <w:sz w:val="24"/>
        </w:rPr>
        <w:t>, and together with the First RSU Agreement, the Second RSU Agreement, and the Third RSU Agreement, the “</w:t>
      </w:r>
      <w:r>
        <w:rPr>
          <w:rFonts w:ascii="Times New Roman" w:hAnsi="Times New Roman"/>
          <w:b/>
          <w:i/>
          <w:color w:val="000000"/>
          <w:sz w:val="24"/>
        </w:rPr>
        <w:t>RSU Agreements</w:t>
      </w:r>
      <w:r>
        <w:rPr>
          <w:rFonts w:ascii="Times New Roman" w:hAnsi="Times New Roman"/>
          <w:color w:val="000000"/>
          <w:sz w:val="20"/>
        </w:rPr>
        <w:t>”</w:t>
      </w:r>
      <w:r>
        <w:rPr>
          <w:rFonts w:ascii="Times New Roman" w:hAnsi="Times New Roman"/>
          <w:b w:val="false"/>
          <w:color w:val="000000"/>
          <w:sz w:val="24"/>
        </w:rPr>
        <w:t>), of which 45,000 have vested, and 45,000 shares remain unvested as of the date of this Agreement. As of the date of this Agreement, a total of 107,500 shares underlying the RSU have vested, and a total of 205,000 shares remain unvested (the “</w:t>
      </w:r>
      <w:r>
        <w:rPr>
          <w:rFonts w:ascii="Times New Roman" w:hAnsi="Times New Roman"/>
          <w:b/>
          <w:i/>
          <w:color w:val="000000"/>
          <w:sz w:val="24"/>
        </w:rPr>
        <w:t>Unvested RSU</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If you execute this Agreement and it becomes effective on its terms, you </w:t>
      </w:r>
    </w:p>
    <w:p>
      <w:pPr>
        <w:pStyle w:val="TextBody"/>
        <w:bidi w:val="0"/>
        <w:jc w:val="both"/>
        <w:rPr>
          <w:rFonts w:ascii="Times New Roman" w:hAnsi="Times New Roman"/>
          <w:sz w:val="20"/>
        </w:rPr>
      </w:pPr>
      <w:r>
        <w:rPr>
          <w:rFonts w:ascii="Times New Roman" w:hAnsi="Times New Roman"/>
          <w:b w:val="false"/>
          <w:color w:val="000000"/>
          <w:sz w:val="24"/>
        </w:rPr>
        <w:t>will receive vesting credit such that, as of the Separation Date, an additional (i) 2,500 unvested shares subject to the First RSU will vest, (ii) 5,000 unvested shares subject to the Second RSU will vest, and (iii) 25,000 unvested shares subject to the Third RSU will vest. Your rights concerning the RSU will continue to be governed by the RSU Agreements.</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jc w:val="both"/>
        <w:rPr/>
      </w:pPr>
      <w:r>
        <w:rPr>
          <w:rFonts w:ascii="Times New Roman" w:hAnsi="Times New Roman"/>
          <w:b w:val="false"/>
          <w:color w:val="000000"/>
          <w:sz w:val="24"/>
          <w:u w:val="single"/>
        </w:rPr>
        <w:t>General Release and Waiver of Claims</w:t>
      </w:r>
      <w:r>
        <w:rPr>
          <w:rFonts w:ascii="Times New Roman" w:hAnsi="Times New Roman"/>
          <w:b w:val="false"/>
          <w:color w:val="000000"/>
          <w:sz w:val="24"/>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The payments and promises set forth in this Agreement are in full </w:t>
      </w:r>
    </w:p>
    <w:p>
      <w:pPr>
        <w:pStyle w:val="TextBody"/>
        <w:bidi w:val="0"/>
        <w:jc w:val="both"/>
        <w:rPr>
          <w:rFonts w:ascii="Times New Roman" w:hAnsi="Times New Roman"/>
          <w:sz w:val="20"/>
        </w:rPr>
      </w:pPr>
      <w:r>
        <w:rPr>
          <w:rFonts w:ascii="Times New Roman" w:hAnsi="Times New Roman"/>
          <w:b w:val="false"/>
          <w:color w:val="000000"/>
          <w:sz w:val="24"/>
        </w:rPr>
        <w:t>satisfaction of all accrued salary, vacation pay, bonus and commission pay, other variable compensation,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Times New Roman" w:hAnsi="Times New Roman"/>
          <w:b/>
          <w:i/>
          <w:color w:val="000000"/>
          <w:sz w:val="24"/>
        </w:rPr>
        <w:t>Releasees</w:t>
      </w:r>
      <w:r>
        <w:rPr>
          <w:rFonts w:ascii="Times New Roman" w:hAnsi="Times New Roman"/>
          <w:color w:val="000000"/>
          <w:sz w:val="20"/>
        </w:rPr>
        <w:t>”</w:t>
      </w:r>
      <w:r>
        <w:rPr>
          <w:rFonts w:ascii="Times New Roman" w:hAnsi="Times New Roman"/>
          <w:b w:val="false"/>
          <w:color w:val="000000"/>
          <w:sz w:val="24"/>
        </w:rPr>
        <w:t>), whether known or not known, including, without limitation, claims under any employment laws, including, but not limited to, claims of unlawful discharge, retaliation, claims arising out of or related in any way to your May 10, 2023 letter to Mark Leahy, and all related communications from you or on your behalf directed to the Company regarding alleged wrongdoing,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and any other laws and/or regulations relating to employment or employment discrimination, including, without limitation, claims based on disability or under the Americans with Disabilities Act. By signing this Agreement, you are not releasing or waiving any claims under the California Fair Employment and Housing Act; however, for the avoidance of doubt, you will release and waive such claims once you sign the Second Release.</w:t>
      </w:r>
      <w:r>
        <w:rPr>
          <w:rFonts w:ascii="Times New Roman" w:hAnsi="Times New Roman"/>
          <w:color w:val="000000"/>
          <w:sz w:val="20"/>
        </w:rPr>
        <w:t xml:space="preserve"> </w:t>
      </w:r>
    </w:p>
    <w:p>
      <w:pPr>
        <w:pStyle w:val="TextBody"/>
        <w:bidi w:val="0"/>
        <w:spacing w:before="0" w:after="221"/>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spacing w:before="0" w:after="221"/>
        <w:jc w:val="right"/>
        <w:rPr>
          <w:rFonts w:ascii="Times New Roman" w:hAnsi="Times New Roman"/>
          <w:b w:val="false"/>
          <w:color w:val="000000"/>
          <w:sz w:val="24"/>
        </w:rPr>
      </w:pPr>
      <w:r>
        <w:rPr>
          <w:rFonts w:ascii="Times New Roman" w:hAnsi="Times New Roman"/>
          <w:b w:val="false"/>
          <w:color w:val="000000"/>
          <w:sz w:val="24"/>
        </w:rPr>
        <w:t xml:space="preserve">By signing below, you expressly waive any benefits of Section 1542 of the Civil Code of the State of California, which provides as follows: </w:t>
      </w:r>
    </w:p>
    <w:p>
      <w:pPr>
        <w:pStyle w:val="TextBody"/>
        <w:bidi w:val="0"/>
        <w:spacing w:before="0" w:after="261"/>
        <w:jc w:val="both"/>
        <w:rPr/>
      </w:pPr>
      <w:r>
        <w:rPr>
          <w:color w:val="000000"/>
        </w:rPr>
        <w:t>“</w:t>
      </w:r>
      <w:r>
        <w:rPr>
          <w:rFonts w:ascii="Times New Roman" w:hAnsi="Times New Roman"/>
          <w:b w:val="false"/>
          <w:color w:val="000000"/>
          <w:sz w:val="24"/>
        </w:rPr>
        <w:t>A GENERAL RELEASE DOES NOT EXTEND TO CLAIMS THAT THE CREDITOR OR RELEASING PARTY DOES NOT KNOW OR SUSPECT TO EXIST IN HIS OR HER FAVOR AT THE TIME OF EXECUTING THE RELEASE AND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5</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You and the Company do not intend to release claims: (i) that you may not</w:t>
      </w:r>
    </w:p>
    <w:p>
      <w:pPr>
        <w:pStyle w:val="TextBody"/>
        <w:bidi w:val="0"/>
        <w:spacing w:before="0" w:after="261"/>
        <w:jc w:val="both"/>
        <w:rPr>
          <w:rFonts w:ascii="Times New Roman" w:hAnsi="Times New Roman"/>
          <w:sz w:val="20"/>
        </w:rPr>
      </w:pPr>
      <w:r>
        <w:rPr>
          <w:rFonts w:ascii="Times New Roman" w:hAnsi="Times New Roman"/>
          <w:b w:val="false"/>
          <w:color w:val="000000"/>
          <w:sz w:val="24"/>
        </w:rPr>
        <w:t>release as a matter of law, (ii) for indemnification, whether pursuant to California Labor Code Section 2802 or any applicable right of indemnification set forth in the Company’s Bylaws or other governing documents, (iii) for enforcement of this Agreement</w:t>
      </w:r>
      <w:r>
        <w:rPr>
          <w:rFonts w:ascii="Times New Roman" w:hAnsi="Times New Roman"/>
          <w:color w:val="000000"/>
          <w:sz w:val="20"/>
          <w:u w:val="single"/>
        </w:rPr>
        <w:t xml:space="preserve"> </w:t>
      </w:r>
      <w:r>
        <w:rPr>
          <w:rFonts w:ascii="Times New Roman" w:hAnsi="Times New Roman"/>
          <w:b w:val="false"/>
          <w:color w:val="000000"/>
          <w:sz w:val="24"/>
        </w:rPr>
        <w:t>and/or arising out of this Agreement, or (iv) your rights in and to your Company equity, including, without limitation, your rights to delivery of, to hold and/or to sell your Company equity. Nor does this Agreement waive or relinquish any rights you may have pursuant to any applicable directors and officers liability insurance policy or other insurance policies held by the Company. To the fullest extent permitted by law, any dispute regarding the scope of this general release shall be determined by an arbitrator under the procedures set forth in the arbitration clause below.</w:t>
      </w:r>
      <w:r>
        <w:rPr>
          <w:rFonts w:ascii="Times New Roman" w:hAnsi="Times New Roman"/>
          <w:color w:val="000000"/>
          <w:sz w:val="20"/>
        </w:rPr>
        <w:t xml:space="preserve">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0" w:after="255"/>
        <w:jc w:val="both"/>
        <w:rPr/>
      </w:pPr>
      <w:r>
        <w:rPr>
          <w:rFonts w:ascii="Times New Roman" w:hAnsi="Times New Roman"/>
          <w:b w:val="false"/>
          <w:color w:val="000000"/>
          <w:sz w:val="24"/>
          <w:u w:val="single"/>
        </w:rPr>
        <w:t>Covenant Not to Sue</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To the fullest extent permitted by law, at no time subsequent to the</w:t>
      </w:r>
    </w:p>
    <w:p>
      <w:pPr>
        <w:pStyle w:val="TextBody"/>
        <w:bidi w:val="0"/>
        <w:spacing w:before="0" w:after="261"/>
        <w:jc w:val="both"/>
        <w:rPr>
          <w:rFonts w:ascii="Times New Roman" w:hAnsi="Times New Roman"/>
          <w:sz w:val="20"/>
        </w:rPr>
      </w:pPr>
      <w:r>
        <w:rPr>
          <w:rFonts w:ascii="Times New Roman" w:hAnsi="Times New Roman"/>
          <w:b w:val="false"/>
          <w:color w:val="000000"/>
          <w:sz w:val="24"/>
        </w:rPr>
        <w:t>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Nothing in this paragraph shall prohibit or impair you or the Company from</w:t>
      </w:r>
    </w:p>
    <w:p>
      <w:pPr>
        <w:pStyle w:val="TextBody"/>
        <w:bidi w:val="0"/>
        <w:spacing w:before="0" w:after="261"/>
        <w:jc w:val="both"/>
        <w:rPr>
          <w:rFonts w:ascii="Times New Roman" w:hAnsi="Times New Roman"/>
          <w:sz w:val="20"/>
        </w:rPr>
      </w:pPr>
      <w:r>
        <w:rPr>
          <w:rFonts w:ascii="Times New Roman" w:hAnsi="Times New Roman"/>
          <w:b w:val="false"/>
          <w:color w:val="000000"/>
          <w:sz w:val="24"/>
        </w:rPr>
        <w:t>complying with all applicable laws, nor shall this Agreement be construed to obligate either party to commit (or aid or abet in the commission of) any unlawful act.</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spacing w:before="0" w:after="261"/>
        <w:jc w:val="both"/>
        <w:rPr/>
      </w:pPr>
      <w:r>
        <w:rPr>
          <w:rFonts w:ascii="Times New Roman" w:hAnsi="Times New Roman"/>
          <w:b w:val="false"/>
          <w:color w:val="000000"/>
          <w:sz w:val="24"/>
          <w:u w:val="single"/>
        </w:rPr>
        <w:t>Protected Rights</w:t>
      </w:r>
      <w:r>
        <w:rPr>
          <w:rFonts w:ascii="Times New Roman" w:hAnsi="Times New Roman"/>
          <w:b w:val="false"/>
          <w:color w:val="000000"/>
          <w:sz w:val="24"/>
        </w:rPr>
        <w:t>: You understand that nothing in the General Release and Waiver of Claims and Covenant Not to Sue paragraphs above, or otherwise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hAnsi="Times New Roman"/>
          <w:b/>
          <w:i/>
          <w:color w:val="000000"/>
          <w:sz w:val="24"/>
        </w:rPr>
        <w:t>Government Agencies</w:t>
      </w:r>
      <w:r>
        <w:rPr>
          <w:color w:val="000000"/>
        </w:rPr>
        <w:t>”</w:t>
      </w:r>
      <w:r>
        <w:rPr>
          <w:rFonts w:ascii="Times New Roman" w:hAnsi="Times New Roman"/>
          <w:b w:val="false"/>
          <w:color w:val="000000"/>
          <w:sz w:val="24"/>
        </w:rPr>
        <w:t xml:space="preserve">). You further understand that this Agreement does not limit your ability to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jc w:val="both"/>
        <w:rPr/>
      </w:pPr>
      <w:r>
        <w:rPr>
          <w:rFonts w:ascii="Times New Roman" w:hAnsi="Times New Roman"/>
          <w:b w:val="false"/>
          <w:color w:val="000000"/>
          <w:sz w:val="24"/>
          <w:u w:val="single"/>
        </w:rPr>
        <w:t>Arbitration</w:t>
      </w:r>
      <w:r>
        <w:rPr>
          <w:rFonts w:ascii="Times New Roman" w:hAnsi="Times New Roman"/>
          <w:b w:val="false"/>
          <w:color w:val="000000"/>
          <w:sz w:val="24"/>
        </w:rPr>
        <w:t xml:space="preserve">: Except for any claim for injunctive relief arising out of a breach of a party’s obligations to protect the other’s proprietary information, the parties agree to arbitrate, in San Jose,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6</w:t>
      </w:r>
      <w:r>
        <w:rPr>
          <w:rFonts w:ascii="Times New Roman" w:hAnsi="Times New Roman"/>
          <w:color w:val="000000"/>
          <w:sz w:val="20"/>
        </w:rPr>
        <w:t xml:space="preserve"> </w:t>
      </w:r>
    </w:p>
    <w:p>
      <w:pPr>
        <w:pStyle w:val="TextBody"/>
        <w:bidi w:val="0"/>
        <w:jc w:val="both"/>
        <w:rPr/>
      </w:pPr>
      <w:r>
        <w:rPr>
          <w:rFonts w:ascii="Times New Roman" w:hAnsi="Times New Roman"/>
          <w:b w:val="false"/>
          <w:color w:val="000000"/>
          <w:sz w:val="24"/>
        </w:rPr>
        <w:t>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r>
        <w:rPr>
          <w:color w:val="00000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jc w:val="both"/>
        <w:rPr/>
      </w:pPr>
      <w:r>
        <w:rPr>
          <w:rFonts w:ascii="Times New Roman" w:hAnsi="Times New Roman"/>
          <w:b w:val="false"/>
          <w:color w:val="000000"/>
          <w:sz w:val="24"/>
          <w:u w:val="single"/>
        </w:rPr>
        <w:t>Attorneys’ Fees</w:t>
      </w:r>
      <w:r>
        <w:rPr>
          <w:rFonts w:ascii="Times New Roman" w:hAnsi="Times New Roman"/>
          <w:b w:val="false"/>
          <w:color w:val="000000"/>
          <w:sz w:val="24"/>
        </w:rPr>
        <w:t xml:space="preserve">: If any action is brought to enforce the terms of this Agreement, the prevailing party will be entitled to recover its reasonable attorneys’ fees, costs and expenses from the other party, in addition to any other relief to which the prevailing party may be entitled.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11.</w:t>
      </w:r>
    </w:p>
    <w:p>
      <w:pPr>
        <w:pStyle w:val="TextBody"/>
        <w:bidi w:val="0"/>
        <w:jc w:val="both"/>
        <w:rPr/>
      </w:pPr>
      <w:r>
        <w:rPr>
          <w:rFonts w:ascii="Times New Roman" w:hAnsi="Times New Roman"/>
          <w:b w:val="false"/>
          <w:color w:val="000000"/>
          <w:sz w:val="24"/>
          <w:u w:val="single"/>
        </w:rPr>
        <w:t>No Admission of Liability</w:t>
      </w:r>
      <w:r>
        <w:rPr>
          <w:rFonts w:ascii="Times New Roman" w:hAnsi="Times New Roman"/>
          <w:b w:val="false"/>
          <w:color w:val="000000"/>
          <w:sz w:val="24"/>
        </w:rPr>
        <w:t xml:space="preserve">: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 </w:t>
      </w:r>
    </w:p>
    <w:p>
      <w:pPr>
        <w:pStyle w:val="TextBody"/>
        <w:bidi w:val="0"/>
        <w:spacing w:before="0" w:after="223"/>
        <w:jc w:val="both"/>
        <w:rPr>
          <w:rFonts w:ascii="Times New Roman" w:hAnsi="Times New Roman"/>
          <w:b w:val="false"/>
          <w:color w:val="000000"/>
          <w:sz w:val="24"/>
        </w:rPr>
      </w:pPr>
      <w:r>
        <w:rPr>
          <w:rFonts w:ascii="Times New Roman" w:hAnsi="Times New Roman"/>
          <w:b w:val="false"/>
          <w:color w:val="000000"/>
          <w:sz w:val="24"/>
        </w:rPr>
        <w:t>12.</w:t>
      </w:r>
    </w:p>
    <w:p>
      <w:pPr>
        <w:pStyle w:val="TextBody"/>
        <w:bidi w:val="0"/>
        <w:spacing w:before="0" w:after="223"/>
        <w:jc w:val="both"/>
        <w:rPr/>
      </w:pPr>
      <w:r>
        <w:rPr>
          <w:rFonts w:ascii="Times New Roman" w:hAnsi="Times New Roman"/>
          <w:b w:val="false"/>
          <w:color w:val="000000"/>
          <w:sz w:val="24"/>
          <w:u w:val="single"/>
        </w:rPr>
        <w:t>Complete and Voluntary Agreement</w:t>
      </w:r>
      <w:r>
        <w:rPr>
          <w:rFonts w:ascii="Times New Roman" w:hAnsi="Times New Roman"/>
          <w:b w:val="false"/>
          <w:color w:val="000000"/>
          <w:sz w:val="24"/>
        </w:rPr>
        <w:t xml:space="preserve">: This Agreement, together with Exhibits A and B hereto and the Restricted Stock Unit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13.</w:t>
      </w:r>
    </w:p>
    <w:p>
      <w:pPr>
        <w:pStyle w:val="TextBody"/>
        <w:bidi w:val="0"/>
        <w:jc w:val="both"/>
        <w:rPr/>
      </w:pPr>
      <w:r>
        <w:rPr>
          <w:rFonts w:ascii="Times New Roman" w:hAnsi="Times New Roman"/>
          <w:b w:val="false"/>
          <w:color w:val="000000"/>
          <w:sz w:val="24"/>
          <w:u w:val="single"/>
        </w:rPr>
        <w:t>Severability</w:t>
      </w:r>
      <w:r>
        <w:rPr>
          <w:rFonts w:ascii="Times New Roman" w:hAnsi="Times New Roman"/>
          <w:b w:val="false"/>
          <w:color w:val="000000"/>
          <w:sz w:val="24"/>
        </w:rPr>
        <w:t xml:space="preserve">: The provisions of this Agreement are severable, and if any part of it is found to be invalid or unenforceable, including, without limitation, any part of the General Release, Covenant Not to Sue, Non-disparagement and/or Confidentiality sections above, or in the Second Release, below, the other parts shall remain fully valid and enforceable. Specifically, should a court, arbitrator, or government agency conclude that a particular claim may not be released as a matter of law, it is the intention of the parties that the general release, the waiver of </w:t>
      </w:r>
      <w:r>
        <w:rPr>
          <w:rFonts w:ascii="Times New Roman" w:hAnsi="Times New Roman"/>
          <w:b w:val="false"/>
          <w:color w:val="000000"/>
          <w:sz w:val="22"/>
        </w:rPr>
        <w:t xml:space="preserve">unknown claims and the covenant not to sue above shall otherwise remain effective to release any and all other claims. </w:t>
      </w:r>
    </w:p>
    <w:p>
      <w:pPr>
        <w:pStyle w:val="TextBody"/>
        <w:bidi w:val="0"/>
        <w:spacing w:before="0" w:after="19"/>
        <w:jc w:val="both"/>
        <w:rPr>
          <w:rFonts w:ascii="Times New Roman" w:hAnsi="Times New Roman"/>
          <w:b w:val="false"/>
          <w:color w:val="000000"/>
          <w:sz w:val="24"/>
        </w:rPr>
      </w:pPr>
      <w:r>
        <w:rPr>
          <w:rFonts w:ascii="Times New Roman" w:hAnsi="Times New Roman"/>
          <w:b w:val="false"/>
          <w:color w:val="000000"/>
          <w:sz w:val="24"/>
        </w:rPr>
        <w:t>14.</w:t>
      </w:r>
    </w:p>
    <w:p>
      <w:pPr>
        <w:pStyle w:val="TextBody"/>
        <w:bidi w:val="0"/>
        <w:spacing w:before="0" w:after="19"/>
        <w:jc w:val="both"/>
        <w:rPr/>
      </w:pPr>
      <w:r>
        <w:rPr>
          <w:rFonts w:ascii="Times New Roman" w:hAnsi="Times New Roman"/>
          <w:b w:val="false"/>
          <w:color w:val="000000"/>
          <w:sz w:val="24"/>
          <w:u w:val="single"/>
        </w:rPr>
        <w:t>Modification; Counterparts; Electronic/PDF Signatures</w:t>
      </w:r>
      <w:r>
        <w:rPr>
          <w:rFonts w:ascii="Times New Roman" w:hAnsi="Times New Roman"/>
          <w:b w:val="false"/>
          <w:color w:val="000000"/>
          <w:sz w:val="24"/>
        </w:rPr>
        <w:t xml:space="preserve">: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equally admissible in any legal proceeding as if an original.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val="false"/>
          <w:color w:val="000000"/>
          <w:sz w:val="24"/>
        </w:rPr>
        <w:t>William (Bill) Mannina Page 7</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15.</w:t>
      </w:r>
    </w:p>
    <w:p>
      <w:pPr>
        <w:pStyle w:val="TextBody"/>
        <w:bidi w:val="0"/>
        <w:spacing w:before="0" w:after="261"/>
        <w:jc w:val="both"/>
        <w:rPr/>
      </w:pPr>
      <w:r>
        <w:rPr>
          <w:rFonts w:ascii="Times New Roman" w:hAnsi="Times New Roman"/>
          <w:b w:val="false"/>
          <w:color w:val="000000"/>
          <w:sz w:val="24"/>
          <w:u w:val="single"/>
        </w:rPr>
        <w:t>Governing Law</w:t>
      </w:r>
      <w:r>
        <w:rPr>
          <w:rFonts w:ascii="Times New Roman" w:hAnsi="Times New Roman"/>
          <w:b w:val="false"/>
          <w:color w:val="000000"/>
          <w:sz w:val="24"/>
        </w:rPr>
        <w:t xml:space="preserve">: This Agreement shall be governed by and construed in accordance with the laws of the State of California.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16.</w:t>
      </w:r>
    </w:p>
    <w:p>
      <w:pPr>
        <w:pStyle w:val="TextBody"/>
        <w:bidi w:val="0"/>
        <w:spacing w:before="0" w:after="261"/>
        <w:jc w:val="both"/>
        <w:rPr/>
      </w:pPr>
      <w:r>
        <w:rPr>
          <w:rFonts w:ascii="Times New Roman" w:hAnsi="Times New Roman"/>
          <w:b w:val="false"/>
          <w:color w:val="000000"/>
          <w:sz w:val="24"/>
          <w:u w:val="single"/>
        </w:rPr>
        <w:t>Expiration of Offer:</w:t>
      </w:r>
      <w:r>
        <w:rPr>
          <w:color w:val="000000"/>
        </w:rPr>
        <w:t xml:space="preserve"> </w:t>
      </w:r>
      <w:r>
        <w:rPr>
          <w:rFonts w:ascii="Times New Roman" w:hAnsi="Times New Roman"/>
          <w:b w:val="false"/>
          <w:color w:val="000000"/>
          <w:sz w:val="24"/>
        </w:rPr>
        <w:t>You understand that you may take up to three (3) business days to consider this Agreement (the “</w:t>
      </w:r>
      <w:r>
        <w:rPr>
          <w:rFonts w:ascii="Times New Roman" w:hAnsi="Times New Roman"/>
          <w:b/>
          <w:i/>
          <w:color w:val="000000"/>
          <w:sz w:val="24"/>
        </w:rPr>
        <w:t>Consideration Period</w:t>
      </w:r>
      <w:r>
        <w:rPr>
          <w:color w:val="000000"/>
        </w:rPr>
        <w:t>”</w:t>
      </w:r>
      <w:r>
        <w:rPr>
          <w:rFonts w:ascii="Times New Roman" w:hAnsi="Times New Roman"/>
          <w:b w:val="false"/>
          <w:color w:val="000000"/>
          <w:sz w:val="24"/>
        </w:rPr>
        <w:t xml:space="preserve">). The offer set forth in this Agreement, if not accepted by you before the end of the Consideration Period, </w:t>
      </w:r>
      <w:r>
        <w:rPr>
          <w:rFonts w:ascii="Times New Roman" w:hAnsi="Times New Roman"/>
          <w:b w:val="false"/>
          <w:i/>
          <w:color w:val="000000"/>
          <w:sz w:val="24"/>
        </w:rPr>
        <w:t>i.e.</w:t>
      </w:r>
      <w:r>
        <w:rPr>
          <w:rFonts w:ascii="Times New Roman" w:hAnsi="Times New Roman"/>
          <w:b w:val="false"/>
          <w:color w:val="000000"/>
          <w:sz w:val="24"/>
        </w:rPr>
        <w:t xml:space="preserve">, on or before July 26, 2023, will automatically expire. </w:t>
      </w:r>
    </w:p>
    <w:p>
      <w:pPr>
        <w:pStyle w:val="TextBody"/>
        <w:bidi w:val="0"/>
        <w:spacing w:before="0" w:after="285"/>
        <w:jc w:val="both"/>
        <w:rPr>
          <w:rFonts w:ascii="Times New Roman" w:hAnsi="Times New Roman"/>
          <w:b w:val="false"/>
          <w:color w:val="000000"/>
          <w:sz w:val="24"/>
        </w:rPr>
      </w:pPr>
      <w:r>
        <w:rPr>
          <w:rFonts w:ascii="Times New Roman" w:hAnsi="Times New Roman"/>
          <w:b w:val="false"/>
          <w:color w:val="000000"/>
          <w:sz w:val="24"/>
        </w:rPr>
        <w:t>17.</w:t>
      </w:r>
    </w:p>
    <w:p>
      <w:pPr>
        <w:pStyle w:val="TextBody"/>
        <w:bidi w:val="0"/>
        <w:spacing w:before="0" w:after="285"/>
        <w:jc w:val="both"/>
        <w:rPr>
          <w:rFonts w:ascii="Times New Roman" w:hAnsi="Times New Roman"/>
          <w:b w:val="false"/>
          <w:color w:val="000000"/>
          <w:sz w:val="24"/>
        </w:rPr>
      </w:pPr>
      <w:r>
        <w:rPr>
          <w:rFonts w:ascii="Times New Roman" w:hAnsi="Times New Roman"/>
          <w:b w:val="false"/>
          <w:color w:val="000000"/>
          <w:sz w:val="24"/>
        </w:rPr>
        <w:t xml:space="preserve">All payments under this Agreement shall be made in full without regard to payments you may receive from future employment or consulting work. </w:t>
      </w:r>
    </w:p>
    <w:p>
      <w:pPr>
        <w:pStyle w:val="TextBody"/>
        <w:bidi w:val="0"/>
        <w:spacing w:before="0" w:after="239"/>
        <w:jc w:val="both"/>
        <w:rPr>
          <w:rFonts w:ascii="Times New Roman" w:hAnsi="Times New Roman"/>
          <w:b w:val="false"/>
          <w:color w:val="000000"/>
          <w:sz w:val="24"/>
        </w:rPr>
      </w:pPr>
      <w:r>
        <w:rPr>
          <w:rFonts w:ascii="Times New Roman" w:hAnsi="Times New Roman"/>
          <w:b w:val="false"/>
          <w:color w:val="000000"/>
          <w:sz w:val="24"/>
        </w:rPr>
        <w:t>18.</w:t>
      </w:r>
    </w:p>
    <w:p>
      <w:pPr>
        <w:pStyle w:val="TextBody"/>
        <w:bidi w:val="0"/>
        <w:spacing w:before="0" w:after="239"/>
        <w:jc w:val="both"/>
        <w:rPr/>
      </w:pPr>
      <w:r>
        <w:rPr>
          <w:rFonts w:ascii="Times New Roman" w:hAnsi="Times New Roman"/>
          <w:b w:val="false"/>
          <w:color w:val="000000"/>
          <w:sz w:val="22"/>
          <w:u w:val="single"/>
        </w:rPr>
        <w:t>Effective Date</w:t>
      </w:r>
      <w:r>
        <w:rPr>
          <w:rFonts w:ascii="Times New Roman" w:hAnsi="Times New Roman"/>
          <w:b w:val="false"/>
          <w:color w:val="000000"/>
          <w:sz w:val="22"/>
        </w:rPr>
        <w:t>: This Agreement is effective on the date it is signed by both parties (the “</w:t>
      </w:r>
      <w:r>
        <w:rPr>
          <w:rFonts w:ascii="Times New Roman" w:hAnsi="Times New Roman"/>
          <w:b/>
          <w:i/>
          <w:color w:val="000000"/>
          <w:sz w:val="22"/>
        </w:rPr>
        <w:t>Effective Date</w:t>
      </w:r>
      <w:r>
        <w:rPr>
          <w:color w:val="000000"/>
        </w:rPr>
        <w:t>”</w:t>
      </w:r>
      <w:r>
        <w:rPr>
          <w:rFonts w:ascii="Times New Roman" w:hAnsi="Times New Roman"/>
          <w:b w:val="false"/>
          <w:color w:val="000000"/>
          <w:sz w:val="22"/>
        </w:rPr>
        <w:t>).</w:t>
      </w:r>
      <w:r>
        <w:rPr>
          <w:color w:val="000000"/>
        </w:rPr>
        <w:t xml:space="preserve"> </w:t>
      </w:r>
    </w:p>
    <w:p>
      <w:pPr>
        <w:pStyle w:val="TextBody"/>
        <w:bidi w:val="0"/>
        <w:spacing w:before="0" w:after="507"/>
        <w:jc w:val="both"/>
        <w:rPr>
          <w:rFonts w:ascii="Times New Roman" w:hAnsi="Times New Roman"/>
          <w:sz w:val="20"/>
        </w:rPr>
      </w:pPr>
      <w:r>
        <w:rPr>
          <w:rFonts w:ascii="Times New Roman" w:hAnsi="Times New Roman"/>
          <w:b w:val="false"/>
          <w:color w:val="000000"/>
          <w:sz w:val="24"/>
        </w:rPr>
        <w:t>If you agree to abide by the terms outlined in this Agreement, please sign and return it to me. I wish you the best in your future endeavors.</w:t>
      </w:r>
      <w:r>
        <w:rPr>
          <w:rFonts w:ascii="Times New Roman" w:hAnsi="Times New Roman"/>
          <w:color w:val="000000"/>
          <w:sz w:val="20"/>
        </w:rPr>
        <w:t xml:space="preserve"> </w:t>
      </w:r>
    </w:p>
    <w:p>
      <w:pPr>
        <w:pStyle w:val="TextBody"/>
        <w:bidi w:val="0"/>
        <w:spacing w:before="0" w:after="244"/>
        <w:jc w:val="center"/>
        <w:rPr>
          <w:rFonts w:ascii="Times New Roman" w:hAnsi="Times New Roman"/>
          <w:sz w:val="20"/>
        </w:rPr>
      </w:pPr>
      <w:r>
        <w:rPr>
          <w:rFonts w:ascii="Times New Roman" w:hAnsi="Times New Roman"/>
          <w:b w:val="false"/>
          <w:color w:val="000000"/>
          <w:sz w:val="24"/>
        </w:rPr>
        <w:t>Sincerely,</w:t>
      </w:r>
      <w:r>
        <w:rPr>
          <w:rFonts w:ascii="Times New Roman" w:hAnsi="Times New Roman"/>
          <w:color w:val="000000"/>
          <w:sz w:val="20"/>
        </w:rPr>
        <w:t xml:space="preserve"> </w:t>
      </w:r>
    </w:p>
    <w:p>
      <w:pPr>
        <w:pStyle w:val="TextBody"/>
        <w:bidi w:val="0"/>
        <w:spacing w:before="0" w:after="522"/>
        <w:jc w:val="center"/>
        <w:rPr>
          <w:rFonts w:ascii="Times New Roman" w:hAnsi="Times New Roman"/>
          <w:sz w:val="20"/>
        </w:rPr>
      </w:pPr>
      <w:r>
        <w:rPr>
          <w:rFonts w:ascii="Times New Roman" w:hAnsi="Times New Roman"/>
          <w:b w:val="false"/>
          <w:color w:val="000000"/>
          <w:sz w:val="24"/>
        </w:rPr>
        <w:t>Energous Corporation</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By:</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J Michael Dodson,</w:t>
      </w:r>
      <w:r>
        <w:rPr>
          <w:rFonts w:ascii="Times New Roman" w:hAnsi="Times New Roman"/>
          <w:color w:val="000000"/>
          <w:sz w:val="20"/>
        </w:rPr>
        <w:t xml:space="preserve"> </w:t>
      </w:r>
    </w:p>
    <w:p>
      <w:pPr>
        <w:pStyle w:val="TextBody"/>
        <w:bidi w:val="0"/>
        <w:spacing w:before="0" w:after="261"/>
        <w:jc w:val="both"/>
        <w:rPr>
          <w:rFonts w:ascii="Times New Roman" w:hAnsi="Times New Roman"/>
          <w:sz w:val="20"/>
        </w:rPr>
      </w:pPr>
      <w:r>
        <w:rPr>
          <w:rFonts w:ascii="Times New Roman" w:hAnsi="Times New Roman"/>
          <w:b w:val="false"/>
          <w:color w:val="000000"/>
          <w:sz w:val="24"/>
        </w:rPr>
        <w:t>Member, Board of Directors</w:t>
      </w:r>
      <w:r>
        <w:rPr>
          <w:rFonts w:ascii="Times New Roman" w:hAnsi="Times New Roman"/>
          <w:color w:val="000000"/>
          <w:sz w:val="20"/>
        </w:rPr>
        <w:t xml:space="preserve"> </w:t>
      </w:r>
    </w:p>
    <w:p>
      <w:pPr>
        <w:pStyle w:val="TextBody"/>
        <w:bidi w:val="0"/>
        <w:spacing w:before="0" w:after="538"/>
        <w:jc w:val="both"/>
        <w:rPr>
          <w:rFonts w:ascii="Times New Roman" w:hAnsi="Times New Roman"/>
          <w:sz w:val="20"/>
        </w:rPr>
      </w:pPr>
      <w:r>
        <w:rPr>
          <w:rFonts w:ascii="Times New Roman" w:hAnsi="Times New Roman"/>
          <w:b w:val="false"/>
          <w:color w:val="000000"/>
          <w:sz w:val="24"/>
        </w:rPr>
        <w:t>READ, UNDERSTOOD AND AGREED</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Date:</w:t>
      </w:r>
      <w:r>
        <w:rPr>
          <w:rFonts w:ascii="Times New Roman" w:hAnsi="Times New Roman"/>
          <w:color w:val="000000"/>
          <w:sz w:val="20"/>
        </w:rPr>
        <w:t xml:space="preserve"> </w:t>
      </w:r>
    </w:p>
    <w:p>
      <w:pPr>
        <w:pStyle w:val="TextBody"/>
        <w:bidi w:val="0"/>
        <w:spacing w:before="0" w:after="71"/>
        <w:jc w:val="left"/>
        <w:rPr/>
      </w:pPr>
      <w:r>
        <w:rPr/>
        <w:t> </w:t>
      </w:r>
    </w:p>
    <w:p>
      <w:pPr>
        <w:pStyle w:val="TextBody"/>
        <w:bidi w:val="0"/>
        <w:spacing w:before="0" w:after="261"/>
        <w:jc w:val="both"/>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52"/>
        <w:jc w:val="center"/>
        <w:rPr>
          <w:rFonts w:ascii="Times New Roman" w:hAnsi="Times New Roman"/>
          <w:sz w:val="20"/>
        </w:rPr>
      </w:pPr>
      <w:r>
        <w:rPr>
          <w:rFonts w:ascii="Times New Roman" w:hAnsi="Times New Roman"/>
          <w:b/>
          <w:color w:val="000000"/>
          <w:sz w:val="24"/>
          <w:u w:val="single"/>
        </w:rPr>
        <w:t>EXHIBIT A</w:t>
      </w:r>
      <w:r>
        <w:rPr>
          <w:rFonts w:ascii="Times New Roman" w:hAnsi="Times New Roman"/>
          <w:color w:val="000000"/>
          <w:sz w:val="20"/>
        </w:rPr>
        <w:t xml:space="preserve"> </w:t>
      </w:r>
    </w:p>
    <w:p>
      <w:pPr>
        <w:pStyle w:val="TextBody"/>
        <w:bidi w:val="0"/>
        <w:spacing w:before="0" w:after="252"/>
        <w:jc w:val="center"/>
        <w:rPr>
          <w:rFonts w:ascii="Times New Roman" w:hAnsi="Times New Roman"/>
          <w:sz w:val="20"/>
        </w:rPr>
      </w:pPr>
      <w:r>
        <w:rPr>
          <w:rFonts w:ascii="Times New Roman" w:hAnsi="Times New Roman"/>
          <w:b/>
          <w:color w:val="000000"/>
          <w:sz w:val="24"/>
        </w:rPr>
        <w:t>SECOND RELEASE</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val="false"/>
          <w:color w:val="000000"/>
          <w:sz w:val="24"/>
        </w:rPr>
        <w:t>This General Release of All Claims and Covenant Not to Sue (the “</w:t>
      </w:r>
      <w:r>
        <w:rPr>
          <w:rFonts w:ascii="Times New Roman" w:hAnsi="Times New Roman"/>
          <w:b/>
          <w:i/>
          <w:color w:val="000000"/>
          <w:sz w:val="24"/>
        </w:rPr>
        <w:t>Second Release</w:t>
      </w:r>
      <w:r>
        <w:rPr>
          <w:rFonts w:ascii="Times New Roman" w:hAnsi="Times New Roman"/>
          <w:color w:val="000000"/>
          <w:sz w:val="20"/>
        </w:rPr>
        <w:t>”</w:t>
      </w:r>
      <w:r>
        <w:rPr>
          <w:rFonts w:ascii="Times New Roman" w:hAnsi="Times New Roman"/>
          <w:b w:val="false"/>
          <w:color w:val="000000"/>
          <w:sz w:val="24"/>
        </w:rPr>
        <w:t>) is entered into between William (Bill) Mannina (“</w:t>
      </w:r>
      <w:r>
        <w:rPr>
          <w:rFonts w:ascii="Times New Roman" w:hAnsi="Times New Roman"/>
          <w:b/>
          <w:i/>
          <w:color w:val="000000"/>
          <w:sz w:val="24"/>
        </w:rPr>
        <w:t>Employee</w:t>
      </w:r>
      <w:r>
        <w:rPr>
          <w:rFonts w:ascii="Times New Roman" w:hAnsi="Times New Roman"/>
          <w:color w:val="000000"/>
          <w:sz w:val="20"/>
        </w:rPr>
        <w:t>”</w:t>
      </w:r>
      <w:r>
        <w:rPr>
          <w:rFonts w:ascii="Times New Roman" w:hAnsi="Times New Roman"/>
          <w:b w:val="false"/>
          <w:color w:val="000000"/>
          <w:sz w:val="24"/>
        </w:rPr>
        <w:t>) and Energous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b w:val="false"/>
          <w:color w:val="000000"/>
          <w:sz w:val="24"/>
        </w:rPr>
        <w:t>) (collectively, “</w:t>
      </w:r>
      <w:r>
        <w:rPr>
          <w:rFonts w:ascii="Times New Roman" w:hAnsi="Times New Roman"/>
          <w:b/>
          <w:i/>
          <w:color w:val="000000"/>
          <w:sz w:val="24"/>
        </w:rPr>
        <w:t>the parties</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and the Company entered into an agreement regarding Employee’s transition and separation from employment with the Company (the “</w:t>
      </w:r>
      <w:r>
        <w:rPr>
          <w:rFonts w:ascii="Times New Roman" w:hAnsi="Times New Roman"/>
          <w:b/>
          <w:i/>
          <w:color w:val="000000"/>
          <w:sz w:val="24"/>
        </w:rPr>
        <w:t>Separation Agreement</w:t>
      </w:r>
      <w:r>
        <w:rPr>
          <w:rFonts w:ascii="Times New Roman" w:hAnsi="Times New Roman"/>
          <w:b w:val="false"/>
          <w:color w:val="000000"/>
          <w:sz w:val="24"/>
        </w:rPr>
        <w:t>,” to which this Second Release is attached as Exhibit A);</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on August 16, 2023, Employee’s employment with the Company terminated (the “</w:t>
      </w:r>
      <w:r>
        <w:rPr>
          <w:rFonts w:ascii="Times New Roman" w:hAnsi="Times New Roman"/>
          <w:b/>
          <w:i/>
          <w:color w:val="000000"/>
          <w:sz w:val="24"/>
        </w:rPr>
        <w:t>Separation Date</w:t>
      </w:r>
      <w:r>
        <w:rPr>
          <w:rFonts w:ascii="Times New Roman" w:hAnsi="Times New Roman"/>
          <w:color w:val="000000"/>
          <w:sz w:val="20"/>
        </w:rPr>
        <w: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has adequately provided the Transition Services (as defined in the Separation Agreement);</w:t>
      </w:r>
      <w:r>
        <w:rPr>
          <w:rFonts w:ascii="Times New Roman" w:hAnsi="Times New Roman"/>
          <w:color w:val="000000"/>
          <w:sz w:val="20"/>
        </w:rPr>
        <w:t xml:space="preserve"> </w:t>
      </w:r>
    </w:p>
    <w:p>
      <w:pPr>
        <w:pStyle w:val="TextBody"/>
        <w:bidi w:val="0"/>
        <w:spacing w:before="0" w:after="110"/>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b w:val="false"/>
          <w:color w:val="000000"/>
          <w:sz w:val="24"/>
        </w:rPr>
        <w:t>this agreement serves as the Second Release, pursuant to the Separation Agreement; and</w:t>
      </w:r>
      <w:r>
        <w:rPr>
          <w:rFonts w:ascii="Times New Roman" w:hAnsi="Times New Roman"/>
          <w:color w:val="000000"/>
          <w:sz w:val="20"/>
        </w:rPr>
        <w:t xml:space="preserve"> </w:t>
      </w:r>
    </w:p>
    <w:p>
      <w:pPr>
        <w:pStyle w:val="TextBody"/>
        <w:bidi w:val="0"/>
        <w:spacing w:before="0" w:after="111"/>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Employee and the Company desire to mutually, amicably and finally resolve and compromise all issues and claims surrounding Employee’s employment and separation from employment with the Company;</w:t>
      </w:r>
      <w:r>
        <w:rPr>
          <w:rFonts w:ascii="Times New Roman" w:hAnsi="Times New Roman"/>
          <w:color w:val="000000"/>
          <w:sz w:val="20"/>
        </w:rPr>
        <w:t xml:space="preserve"> </w:t>
      </w:r>
    </w:p>
    <w:p>
      <w:pPr>
        <w:pStyle w:val="TextBody"/>
        <w:bidi w:val="0"/>
        <w:spacing w:before="0" w:after="368"/>
        <w:jc w:val="both"/>
        <w:rPr>
          <w:rFonts w:ascii="Times New Roman" w:hAnsi="Times New Roman"/>
          <w:sz w:val="20"/>
        </w:rPr>
      </w:pPr>
      <w:r>
        <w:rPr>
          <w:rFonts w:ascii="Times New Roman" w:hAnsi="Times New Roman"/>
          <w:b/>
          <w:color w:val="000000"/>
          <w:sz w:val="24"/>
        </w:rPr>
        <w:t>NOW THEREFORE</w:t>
      </w:r>
      <w:r>
        <w:rPr>
          <w:rFonts w:ascii="Times New Roman" w:hAnsi="Times New Roman"/>
          <w:b w:val="false"/>
          <w:color w:val="000000"/>
          <w:sz w:val="24"/>
        </w:rPr>
        <w:t>, in consideration for the mutual promises and undertakings of the parties as set forth below, Employee and the Company hereby enter into this Second Release.</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jc w:val="both"/>
        <w:rPr/>
      </w:pPr>
      <w:r>
        <w:rPr>
          <w:rFonts w:ascii="Times New Roman" w:hAnsi="Times New Roman"/>
          <w:b w:val="false"/>
          <w:color w:val="000000"/>
          <w:sz w:val="24"/>
          <w:u w:val="single"/>
        </w:rPr>
        <w:t>Acknowledgment of Payment of Wages</w:t>
      </w:r>
      <w:r>
        <w:rPr>
          <w:rFonts w:ascii="Times New Roman" w:hAnsi="Times New Roman"/>
          <w:b w:val="false"/>
          <w:color w:val="000000"/>
          <w:sz w:val="24"/>
        </w:rPr>
        <w:t>: Providing that the Company has paid</w:t>
      </w:r>
    </w:p>
    <w:p>
      <w:pPr>
        <w:pStyle w:val="TextBody"/>
        <w:bidi w:val="0"/>
        <w:spacing w:before="0" w:after="295"/>
        <w:jc w:val="both"/>
        <w:rPr>
          <w:rFonts w:ascii="Times New Roman" w:hAnsi="Times New Roman"/>
          <w:sz w:val="20"/>
        </w:rPr>
      </w:pPr>
      <w:r>
        <w:rPr>
          <w:rFonts w:ascii="Times New Roman" w:hAnsi="Times New Roman"/>
          <w:b w:val="false"/>
          <w:color w:val="000000"/>
          <w:sz w:val="24"/>
        </w:rPr>
        <w:t>Employee all accrued salary and accrued vacation through and as of the Separation Date</w:t>
      </w:r>
      <w:r>
        <w:rPr>
          <w:rFonts w:ascii="Times New Roman" w:hAnsi="Times New Roman"/>
          <w:b w:val="false"/>
          <w:color w:val="59595A"/>
          <w:sz w:val="24"/>
        </w:rPr>
        <w:t>, b</w:t>
      </w:r>
      <w:r>
        <w:rPr>
          <w:rFonts w:ascii="Times New Roman" w:hAnsi="Times New Roman"/>
          <w:b w:val="false"/>
          <w:color w:val="000000"/>
          <w:sz w:val="24"/>
        </w:rPr>
        <w:t>y Employe’s signature below Employee acknowledges that, on the Separation Date, the Company paid Employee for all wages, salary, accrued vacation (if applicable), bonuses, reimbursable expenses previously submitted by Employee, and any similar payments due Employee from the Company as of the Separation Date.</w:t>
      </w:r>
      <w:r>
        <w:rPr>
          <w:rFonts w:ascii="Times New Roman" w:hAnsi="Times New Roman"/>
          <w:color w:val="000000"/>
          <w:sz w:val="20"/>
        </w:rPr>
        <w:t xml:space="preserve">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61"/>
        <w:jc w:val="both"/>
        <w:rPr/>
      </w:pPr>
      <w:r>
        <w:rPr>
          <w:rFonts w:ascii="Times New Roman" w:hAnsi="Times New Roman"/>
          <w:b w:val="false"/>
          <w:color w:val="000000"/>
          <w:sz w:val="24"/>
          <w:u w:val="single"/>
        </w:rPr>
        <w:t>Return of Company Property</w:t>
      </w:r>
      <w:r>
        <w:rPr>
          <w:rFonts w:ascii="Times New Roman" w:hAnsi="Times New Roman"/>
          <w:b w:val="false"/>
          <w:color w:val="000000"/>
          <w:sz w:val="24"/>
        </w:rPr>
        <w:t xml:space="preserve">: Employee hereby warrants to the Company that Employee has returned to the Company all property or data of the Company of any type whatsoever that has been in Employee’s possession, custody or control. </w:t>
      </w:r>
    </w:p>
    <w:p>
      <w:pPr>
        <w:pStyle w:val="TextBody"/>
        <w:bidi w:val="0"/>
        <w:spacing w:before="0" w:after="261"/>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61"/>
        <w:jc w:val="both"/>
        <w:rPr/>
      </w:pPr>
      <w:r>
        <w:rPr>
          <w:rFonts w:ascii="Times New Roman" w:hAnsi="Times New Roman"/>
          <w:b w:val="false"/>
          <w:color w:val="000000"/>
          <w:sz w:val="24"/>
          <w:u w:val="single"/>
        </w:rPr>
        <w:t>Consideration</w:t>
      </w:r>
      <w:r>
        <w:rPr>
          <w:rFonts w:ascii="Times New Roman" w:hAnsi="Times New Roman"/>
          <w:b w:val="false"/>
          <w:color w:val="000000"/>
          <w:sz w:val="24"/>
        </w:rPr>
        <w:t xml:space="preserve">: In exchange for Employee’s agreement to this Second Release and Employee’s other promises in the Separation Agreement and herein, the Company agrees to provide Employee with the consideration set forth in Paragraph 1(c) of the Separation Agreement. By signing below, Employee acknowledges that Employee is receiving the consideration in exchange for waiving Employee’s rights to claims referred to in this Second Release and Employee would not otherwise be entitled to the consideration. </w:t>
      </w:r>
    </w:p>
    <w:p>
      <w:pPr>
        <w:pStyle w:val="TextBody"/>
        <w:bidi w:val="0"/>
        <w:spacing w:before="0" w:after="255"/>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55"/>
        <w:jc w:val="both"/>
        <w:rPr/>
      </w:pPr>
      <w:r>
        <w:rPr>
          <w:rFonts w:ascii="Times New Roman" w:hAnsi="Times New Roman"/>
          <w:b w:val="false"/>
          <w:color w:val="000000"/>
          <w:sz w:val="24"/>
          <w:u w:val="single"/>
        </w:rPr>
        <w:t>General Release and Waiver of Claims</w:t>
      </w:r>
      <w:r>
        <w:rPr>
          <w:rFonts w:ascii="Times New Roman" w:hAnsi="Times New Roman"/>
          <w:b w:val="false"/>
          <w:color w:val="000000"/>
          <w:sz w:val="24"/>
        </w:rPr>
        <w:t>:</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The payments and promises set forth in this Second Release are in full</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363"/>
        <w:jc w:val="both"/>
        <w:rPr>
          <w:rFonts w:ascii="Times New Roman" w:hAnsi="Times New Roman"/>
          <w:sz w:val="20"/>
        </w:rPr>
      </w:pPr>
      <w:r>
        <w:rPr>
          <w:rFonts w:ascii="Times New Roman" w:hAnsi="Times New Roman"/>
          <w:b w:val="false"/>
          <w:color w:val="000000"/>
          <w:sz w:val="24"/>
        </w:rPr>
        <w:t>satisfaction of all accrued salary, vacation pay, bonus and commission pay, other variable compensation, profit-sharing, stock, stock options or other ownership interest in the Company, termination benefits or other compensation to which Employee may be entitled by virtue of</w:t>
      </w:r>
      <w:r>
        <w:rPr>
          <w:rFonts w:ascii="Times New Roman" w:hAnsi="Times New Roman"/>
          <w:color w:val="000000"/>
          <w:sz w:val="20"/>
        </w:rPr>
        <w:t xml:space="preserve"> </w:t>
      </w:r>
    </w:p>
    <w:p>
      <w:pPr>
        <w:pStyle w:val="TextBody"/>
        <w:bidi w:val="0"/>
        <w:spacing w:before="0" w:after="189"/>
        <w:jc w:val="center"/>
        <w:rPr>
          <w:rFonts w:ascii="Times New Roman" w:hAnsi="Times New Roman"/>
          <w:sz w:val="20"/>
        </w:rPr>
      </w:pPr>
      <w:r>
        <w:rPr>
          <w:rFonts w:ascii="Times New Roman" w:hAnsi="Times New Roman"/>
          <w:b w:val="false"/>
          <w:color w:val="000000"/>
          <w:sz w:val="20"/>
        </w:rPr>
        <w:t>1</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4"/>
        </w:rPr>
        <w:t>Employee’s employment with the Company or Employee’s separation from the Company, including pursuant to the Separation Agreement. To the fullest extent permitted by law, Employee hereby releases and waives any other claims Employee may have against the Company and its owners, agents, officers, shareholders, employees, directors, attorneys, subscribers, subsidiaries, affiliates, successors and assigns (collectively “</w:t>
      </w:r>
      <w:r>
        <w:rPr>
          <w:rFonts w:ascii="Times New Roman" w:hAnsi="Times New Roman"/>
          <w:b/>
          <w:i/>
          <w:color w:val="000000"/>
          <w:sz w:val="24"/>
        </w:rPr>
        <w:t>Releasees</w:t>
      </w:r>
      <w:r>
        <w:rPr>
          <w:rFonts w:ascii="Times New Roman" w:hAnsi="Times New Roman"/>
          <w:color w:val="000000"/>
          <w:sz w:val="20"/>
        </w:rPr>
        <w:t>”</w:t>
      </w:r>
      <w:r>
        <w:rPr>
          <w:rFonts w:ascii="Times New Roman" w:hAnsi="Times New Roman"/>
          <w:b w:val="false"/>
          <w:color w:val="000000"/>
          <w:sz w:val="24"/>
        </w:rPr>
        <w:t>), whether known or not known, including, without limitation, claims under any employment laws, including, but not limited to, claims of unlawful discharge, retaliation, claims arising out of or related in any way to Employee’s May 10, 2023 letter to Mark Leahy, and all related communications from Employee or on his behalf directed to the Company regarding alleged wrongdoing, breach of contract, breach of the covenant of good faith and fair dealing, fraud, violation of public policy, defamation, physical injury, emotional distress, claims for additional compensation or benefits arising out of Employee’s employment or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By signing below, Employee expressly waives any benefits of Section 1542 </w:t>
      </w:r>
    </w:p>
    <w:p>
      <w:pPr>
        <w:pStyle w:val="TextBody"/>
        <w:bidi w:val="0"/>
        <w:spacing w:before="0" w:after="11"/>
        <w:jc w:val="both"/>
        <w:rPr>
          <w:rFonts w:ascii="Times New Roman" w:hAnsi="Times New Roman"/>
          <w:sz w:val="20"/>
        </w:rPr>
      </w:pPr>
      <w:r>
        <w:rPr>
          <w:rFonts w:ascii="Times New Roman" w:hAnsi="Times New Roman"/>
          <w:b w:val="false"/>
          <w:color w:val="000000"/>
          <w:sz w:val="24"/>
        </w:rPr>
        <w:t>of the Civil Code of the State of California, which provides as follows:</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c.</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Employee and the Company do not intend to release claims (i) that Employee </w:t>
      </w:r>
    </w:p>
    <w:p>
      <w:pPr>
        <w:pStyle w:val="TextBody"/>
        <w:bidi w:val="0"/>
        <w:jc w:val="both"/>
        <w:rPr>
          <w:rFonts w:ascii="Times New Roman" w:hAnsi="Times New Roman"/>
          <w:sz w:val="20"/>
        </w:rPr>
      </w:pPr>
      <w:r>
        <w:rPr>
          <w:rFonts w:ascii="Times New Roman" w:hAnsi="Times New Roman"/>
          <w:b w:val="false"/>
          <w:color w:val="000000"/>
          <w:sz w:val="24"/>
        </w:rPr>
        <w:t>may not release as a matter of law, (ii) for indemnification, whether pursuant to California Labor Code Section 2802 or any applicable right of indemnification set forth in the Company’s Bylaws or other governing documents, (iii) for enforcement of this Second Release and/or arising out of this Second Release or the Agreement to which this Second Release is attached, or (iv) your rights in and to your Company equity, including, without limitation, your rights to delivery of, to hold and/or to sell your Company equity. Nor does this Second Release waive or relinquish any rights Employee may have pursuant to any applicable directors and officers liability insurance policy or other insurance policies held by the Company. To the fullest extent permitted by law, any dispute regarding the scope of this general release shall be determined by an arbitrator under the procedures set forth in the arbitration clause set forth in the Separation Agreement.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4"/>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jc w:val="both"/>
        <w:rPr/>
      </w:pPr>
      <w:r>
        <w:rPr>
          <w:rFonts w:ascii="Times New Roman" w:hAnsi="Times New Roman"/>
          <w:b w:val="false"/>
          <w:color w:val="000000"/>
          <w:sz w:val="24"/>
          <w:u w:val="single"/>
        </w:rPr>
        <w:t>Covenant Not to Sue</w:t>
      </w:r>
      <w:r>
        <w:rPr>
          <w:rFonts w:ascii="Times New Roman" w:hAnsi="Times New Roman"/>
          <w:b w:val="false"/>
          <w:color w:val="000000"/>
          <w:sz w:val="24"/>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a.</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To the fullest extent permitted by law, at no time subsequent to the execution </w:t>
      </w:r>
    </w:p>
    <w:p>
      <w:pPr>
        <w:pStyle w:val="TextBody"/>
        <w:bidi w:val="0"/>
        <w:spacing w:before="0" w:after="261"/>
        <w:jc w:val="both"/>
        <w:rPr>
          <w:rFonts w:ascii="Times New Roman" w:hAnsi="Times New Roman"/>
          <w:sz w:val="20"/>
        </w:rPr>
      </w:pPr>
      <w:r>
        <w:rPr>
          <w:rFonts w:ascii="Times New Roman" w:hAnsi="Times New Roman"/>
          <w:b w:val="false"/>
          <w:color w:val="000000"/>
          <w:sz w:val="24"/>
        </w:rPr>
        <w:t>of this Second Release will Employee pursue, or cause or knowingly permit the prosecution, in any state, federal or foreign court, or before any local, state, federal or foreign administrative agency, or any other tribunal, of any charge, claim or action of any kind, nature and character whatsoever, known or unknown, which Employee may now have, have ever had, or may in the future have against Releasees, which is based in whole or in part on any matter released by this Second Release.</w:t>
      </w:r>
      <w:r>
        <w:rPr>
          <w:rFonts w:ascii="Times New Roman" w:hAnsi="Times New Roman"/>
          <w:color w:val="000000"/>
          <w:sz w:val="20"/>
        </w:rPr>
        <w:t xml:space="preserve"> </w:t>
      </w:r>
    </w:p>
    <w:p>
      <w:pPr>
        <w:pStyle w:val="TextBody"/>
        <w:bidi w:val="0"/>
        <w:spacing w:before="0" w:after="0"/>
        <w:jc w:val="right"/>
        <w:rPr>
          <w:rFonts w:ascii="Times New Roman" w:hAnsi="Times New Roman"/>
          <w:b w:val="false"/>
          <w:color w:val="000000"/>
          <w:sz w:val="24"/>
        </w:rPr>
      </w:pPr>
      <w:r>
        <w:rPr>
          <w:rFonts w:ascii="Times New Roman" w:hAnsi="Times New Roman"/>
          <w:b w:val="false"/>
          <w:color w:val="000000"/>
          <w:sz w:val="24"/>
        </w:rPr>
        <w:t>b.</w:t>
      </w:r>
    </w:p>
    <w:p>
      <w:pPr>
        <w:pStyle w:val="TextBody"/>
        <w:bidi w:val="0"/>
        <w:jc w:val="right"/>
        <w:rPr>
          <w:rFonts w:ascii="Times New Roman" w:hAnsi="Times New Roman"/>
          <w:b w:val="false"/>
          <w:color w:val="000000"/>
          <w:sz w:val="24"/>
        </w:rPr>
      </w:pPr>
      <w:r>
        <w:rPr>
          <w:rFonts w:ascii="Times New Roman" w:hAnsi="Times New Roman"/>
          <w:b w:val="false"/>
          <w:color w:val="000000"/>
          <w:sz w:val="24"/>
        </w:rPr>
        <w:t xml:space="preserve">Nothing in this paragraph shall prohibit or impair Employee or the Company </w:t>
      </w:r>
    </w:p>
    <w:p>
      <w:pPr>
        <w:pStyle w:val="TextBody"/>
        <w:bidi w:val="0"/>
        <w:jc w:val="both"/>
        <w:rPr>
          <w:rFonts w:ascii="Times New Roman" w:hAnsi="Times New Roman"/>
          <w:sz w:val="20"/>
        </w:rPr>
      </w:pPr>
      <w:r>
        <w:rPr>
          <w:rFonts w:ascii="Times New Roman" w:hAnsi="Times New Roman"/>
          <w:b w:val="false"/>
          <w:color w:val="000000"/>
          <w:sz w:val="24"/>
        </w:rPr>
        <w:t>from complying with all applicable laws, nor shall this Second Release be construed to obligate either party to commit (or aid or abet in the commission of) any unlawful act.</w:t>
      </w:r>
      <w:r>
        <w:rPr>
          <w:rFonts w:ascii="Times New Roman" w:hAnsi="Times New Roman"/>
          <w:color w:val="000000"/>
          <w:sz w:val="2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jc w:val="both"/>
        <w:rPr/>
      </w:pPr>
      <w:r>
        <w:rPr>
          <w:rFonts w:ascii="Times New Roman" w:hAnsi="Times New Roman"/>
          <w:b w:val="false"/>
          <w:color w:val="000000"/>
          <w:sz w:val="24"/>
          <w:u w:val="single"/>
        </w:rPr>
        <w:t>Protected Rights</w:t>
      </w:r>
      <w:r>
        <w:rPr>
          <w:rFonts w:ascii="Times New Roman" w:hAnsi="Times New Roman"/>
          <w:b w:val="false"/>
          <w:color w:val="000000"/>
          <w:sz w:val="24"/>
        </w:rPr>
        <w:t>: Employee understands that nothing in the General Release and Waiver of Claims and Covenant Not to Sue paragraphs above, or otherwise in this Second Release, limits his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hAnsi="Times New Roman"/>
          <w:b/>
          <w:i/>
          <w:color w:val="000000"/>
          <w:sz w:val="24"/>
        </w:rPr>
        <w:t>Government Agencies</w:t>
      </w:r>
      <w:r>
        <w:rPr>
          <w:color w:val="000000"/>
        </w:rPr>
        <w:t>”</w:t>
      </w:r>
      <w:r>
        <w:rPr>
          <w:rFonts w:ascii="Times New Roman" w:hAnsi="Times New Roman"/>
          <w:b w:val="false"/>
          <w:color w:val="000000"/>
          <w:sz w:val="24"/>
        </w:rPr>
        <w:t xml:space="preserve">). Employee further understands that this Second Release does not limit his ability to communicate with any Government Agencies or otherwise participate in any investigation or proceeding that may be conducted by any Government Agency, including providing documents or other information, without notice to the Company. This Second Release does not limit Employee’s right to receive an award for information provided to any Government Agencies.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jc w:val="both"/>
        <w:rPr/>
      </w:pPr>
      <w:r>
        <w:rPr>
          <w:rFonts w:ascii="Times New Roman" w:hAnsi="Times New Roman"/>
          <w:b w:val="false"/>
          <w:color w:val="000000"/>
          <w:sz w:val="24"/>
          <w:u w:val="single"/>
        </w:rPr>
        <w:t>Mutual Non-disparagement</w:t>
      </w:r>
      <w:r>
        <w:rPr>
          <w:rFonts w:ascii="Times New Roman" w:hAnsi="Times New Roman"/>
          <w:b w:val="false"/>
          <w:color w:val="000000"/>
          <w:sz w:val="24"/>
        </w:rPr>
        <w:t xml:space="preserve">: Employee agrees that he will not, directly or indirectly, disparage or make negative remarks regarding Releasees or their products, services, agents, representatives, directors, officers, shareholders, attorneys, employees, vendors, affiliates, successors or assigns, or any person acting by, through, under or in concert with any of them, with any written or oral statement. The Company agrees that its current officers and directors, for so long as they are employed by or providing board service to the Company, will not disparage Employee with any written or oral statement. Nothing in this section shall prohibit Employee or the Company (including its current officers and directors) from providing truthful information in response to a subpoena or other legal process.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jc w:val="both"/>
        <w:rPr/>
      </w:pPr>
      <w:r>
        <w:rPr>
          <w:rFonts w:ascii="Times New Roman" w:hAnsi="Times New Roman"/>
          <w:b w:val="false"/>
          <w:color w:val="000000"/>
          <w:sz w:val="24"/>
          <w:u w:val="single"/>
        </w:rPr>
        <w:t>Review of Second Release; Expiration of Offer</w:t>
      </w:r>
      <w:r>
        <w:rPr>
          <w:rFonts w:ascii="Times New Roman" w:hAnsi="Times New Roman"/>
          <w:b w:val="false"/>
          <w:color w:val="000000"/>
          <w:sz w:val="24"/>
        </w:rPr>
        <w:t>: Employee understands that Employee may take up to twenty-one (21) days to consider this Second Release (the “</w:t>
      </w:r>
      <w:r>
        <w:rPr>
          <w:rFonts w:ascii="Times New Roman" w:hAnsi="Times New Roman"/>
          <w:b/>
          <w:i/>
          <w:color w:val="000000"/>
          <w:sz w:val="24"/>
        </w:rPr>
        <w:t>Consideration Period</w:t>
      </w:r>
      <w:r>
        <w:rPr>
          <w:color w:val="000000"/>
        </w:rPr>
        <w:t>”</w:t>
      </w:r>
      <w:r>
        <w:rPr>
          <w:rFonts w:ascii="Times New Roman" w:hAnsi="Times New Roman"/>
          <w:b w:val="false"/>
          <w:color w:val="000000"/>
          <w:sz w:val="24"/>
        </w:rPr>
        <w:t xml:space="preserve">). The offer set forth in this Second Release, if not accepted by Employee before the end of the Consideration Period, will automatically expire. By signing below, Employee affirms that Employee was advised to consult with an attorney prior to signing this Second Release. Employee also understands that Employee may revoke this Second Release within seven (7) days of signing this document and that the consideration to be provided to Employee pursuant to Paragraph 1(c) </w:t>
      </w:r>
    </w:p>
    <w:p>
      <w:pPr>
        <w:pStyle w:val="TextBody"/>
        <w:bidi w:val="0"/>
        <w:jc w:val="center"/>
        <w:rPr>
          <w:rFonts w:ascii="Times New Roman" w:hAnsi="Times New Roman"/>
          <w:sz w:val="20"/>
        </w:rPr>
      </w:pPr>
      <w:r>
        <w:rPr>
          <w:rFonts w:ascii="Times New Roman" w:hAnsi="Times New Roman"/>
          <w:b w:val="false"/>
          <w:color w:val="000000"/>
          <w:sz w:val="24"/>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both"/>
        <w:rPr/>
      </w:pPr>
      <w:r>
        <w:rPr>
          <w:rFonts w:ascii="Times New Roman" w:hAnsi="Times New Roman"/>
          <w:b w:val="false"/>
          <w:color w:val="000000"/>
          <w:sz w:val="24"/>
        </w:rPr>
        <w:t>of the Separation Agreement will be provided only after the expiration of that seven (7) day revocation period.</w:t>
      </w:r>
      <w:r>
        <w:rPr>
          <w:color w:val="000000"/>
        </w:rPr>
        <w:t xml:space="preserve"> </w:t>
      </w:r>
    </w:p>
    <w:p>
      <w:pPr>
        <w:pStyle w:val="TextBody"/>
        <w:bidi w:val="0"/>
        <w:spacing w:before="0" w:after="0"/>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jc w:val="both"/>
        <w:rPr/>
      </w:pPr>
      <w:r>
        <w:rPr>
          <w:rFonts w:ascii="Times New Roman" w:hAnsi="Times New Roman"/>
          <w:b w:val="false"/>
          <w:color w:val="000000"/>
          <w:sz w:val="24"/>
          <w:u w:val="single"/>
        </w:rPr>
        <w:t>Effective Date</w:t>
      </w:r>
      <w:r>
        <w:rPr>
          <w:rFonts w:ascii="Times New Roman" w:hAnsi="Times New Roman"/>
          <w:b w:val="false"/>
          <w:color w:val="000000"/>
          <w:sz w:val="24"/>
        </w:rPr>
        <w:t>: This Second Release is effective on the eighth (8th) day after Employee signs it, provided Employee has not revoked it as of that time (the “</w:t>
      </w:r>
      <w:r>
        <w:rPr>
          <w:rFonts w:ascii="Times New Roman" w:hAnsi="Times New Roman"/>
          <w:b/>
          <w:i/>
          <w:color w:val="000000"/>
          <w:sz w:val="24"/>
        </w:rPr>
        <w:t>Effective Date</w:t>
      </w:r>
      <w:r>
        <w:rPr>
          <w:color w:val="000000"/>
        </w:rPr>
        <w:t>”</w:t>
      </w:r>
      <w:r>
        <w:rPr>
          <w:rFonts w:ascii="Times New Roman" w:hAnsi="Times New Roman"/>
          <w:b w:val="false"/>
          <w:color w:val="000000"/>
          <w:sz w:val="24"/>
        </w:rPr>
        <w:t xml:space="preserve">). </w:t>
      </w:r>
    </w:p>
    <w:p>
      <w:pPr>
        <w:pStyle w:val="TextBody"/>
        <w:bidi w:val="0"/>
        <w:spacing w:before="0" w:after="566"/>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spacing w:before="0" w:after="566"/>
        <w:jc w:val="both"/>
        <w:rPr/>
      </w:pPr>
      <w:r>
        <w:rPr>
          <w:rFonts w:ascii="Times New Roman" w:hAnsi="Times New Roman"/>
          <w:b w:val="false"/>
          <w:color w:val="000000"/>
          <w:sz w:val="24"/>
          <w:u w:val="single"/>
        </w:rPr>
        <w:t>Other Terms of Separation Agreement Incorporated Herein</w:t>
      </w:r>
      <w:r>
        <w:rPr>
          <w:rFonts w:ascii="Times New Roman" w:hAnsi="Times New Roman"/>
          <w:b w:val="false"/>
          <w:color w:val="000000"/>
          <w:sz w:val="24"/>
        </w:rPr>
        <w:t xml:space="preserve">: All other terms of the Separation Agreement to the extent not inconsistent with the terms of this Second Release are hereby incorporated in this Second Release as though fully stated herein and apply with equal force to this Second Release, including, without limitation, the provisions on Arbitration, Governing Law, and Attorneys’ Fees. </w:t>
      </w:r>
    </w:p>
    <w:p>
      <w:pPr>
        <w:pStyle w:val="TextBody"/>
        <w:bidi w:val="0"/>
        <w:spacing w:before="0" w:after="11"/>
        <w:jc w:val="left"/>
        <w:rPr>
          <w:rFonts w:ascii="Times New Roman" w:hAnsi="Times New Roman"/>
          <w:sz w:val="20"/>
        </w:rPr>
      </w:pPr>
      <w:r>
        <w:rPr>
          <w:rFonts w:ascii="Times New Roman" w:hAnsi="Times New Roman"/>
          <w:b w:val="false"/>
          <w:color w:val="000000"/>
          <w:sz w:val="24"/>
        </w:rPr>
        <w:t>Dated:</w:t>
      </w:r>
      <w:r>
        <w:rPr>
          <w:rFonts w:ascii="Times New Roman" w:hAnsi="Times New Roman"/>
          <w:color w:val="000000"/>
          <w:sz w:val="20"/>
        </w:rPr>
        <w:t xml:space="preserve"> </w:t>
      </w:r>
    </w:p>
    <w:p>
      <w:pPr>
        <w:pStyle w:val="TextBody"/>
        <w:bidi w:val="0"/>
        <w:spacing w:before="0" w:after="11"/>
        <w:jc w:val="both"/>
        <w:rPr>
          <w:rFonts w:ascii="Times New Roman" w:hAnsi="Times New Roman"/>
          <w:sz w:val="20"/>
        </w:rPr>
      </w:pPr>
      <w:r>
        <w:rPr>
          <w:rFonts w:ascii="Times New Roman" w:hAnsi="Times New Roman"/>
          <w:b w:val="false"/>
          <w:color w:val="000000"/>
          <w:sz w:val="24"/>
        </w:rPr>
        <w:t>Name: J Michael Dodson</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val="false"/>
          <w:color w:val="000000"/>
          <w:sz w:val="24"/>
        </w:rPr>
        <w:t>Title: Member, Board of Directors</w:t>
      </w:r>
      <w:r>
        <w:rPr>
          <w:rFonts w:ascii="Times New Roman" w:hAnsi="Times New Roman"/>
          <w:color w:val="000000"/>
          <w:sz w:val="20"/>
        </w:rPr>
        <w:t xml:space="preserve"> </w:t>
      </w:r>
    </w:p>
    <w:p>
      <w:pPr>
        <w:pStyle w:val="TextBody"/>
        <w:bidi w:val="0"/>
        <w:spacing w:before="0" w:after="499"/>
        <w:jc w:val="center"/>
        <w:rPr>
          <w:rFonts w:ascii="Times New Roman" w:hAnsi="Times New Roman"/>
          <w:sz w:val="20"/>
        </w:rPr>
      </w:pPr>
      <w:r>
        <w:rPr>
          <w:rFonts w:ascii="Times New Roman" w:hAnsi="Times New Roman"/>
          <w:b w:val="false"/>
          <w:color w:val="000000"/>
          <w:sz w:val="24"/>
        </w:rPr>
        <w:t>For the Company</w:t>
      </w:r>
      <w:r>
        <w:rPr>
          <w:rFonts w:ascii="Times New Roman" w:hAnsi="Times New Roman"/>
          <w:color w:val="000000"/>
          <w:sz w:val="20"/>
        </w:rPr>
        <w:t xml:space="preserve"> </w:t>
      </w:r>
    </w:p>
    <w:p>
      <w:pPr>
        <w:pStyle w:val="TextBody"/>
        <w:bidi w:val="0"/>
        <w:spacing w:before="0" w:after="11"/>
        <w:jc w:val="left"/>
        <w:rPr>
          <w:rFonts w:ascii="Times New Roman" w:hAnsi="Times New Roman"/>
          <w:sz w:val="20"/>
        </w:rPr>
      </w:pPr>
      <w:r>
        <w:rPr>
          <w:rFonts w:ascii="Times New Roman" w:hAnsi="Times New Roman"/>
          <w:b w:val="false"/>
          <w:color w:val="000000"/>
          <w:sz w:val="24"/>
        </w:rPr>
        <w:t>Dated:</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b w:val="false"/>
          <w:color w:val="000000"/>
          <w:sz w:val="24"/>
        </w:rPr>
        <w:t>William (Bill) Mannina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4"/>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55"/>
        <w:jc w:val="center"/>
        <w:rPr>
          <w:rFonts w:ascii="Times New Roman" w:hAnsi="Times New Roman"/>
          <w:sz w:val="20"/>
        </w:rPr>
      </w:pPr>
      <w:r>
        <w:rPr>
          <w:rFonts w:ascii="Times New Roman" w:hAnsi="Times New Roman"/>
          <w:b/>
          <w:color w:val="000000"/>
          <w:sz w:val="24"/>
          <w:u w:val="single"/>
        </w:rPr>
        <w:t>EXHIBIT B</w:t>
      </w:r>
      <w:r>
        <w:rPr>
          <w:rFonts w:ascii="Times New Roman" w:hAnsi="Times New Roman"/>
          <w:color w:val="000000"/>
          <w:sz w:val="20"/>
        </w:rPr>
        <w:t xml:space="preserve"> </w:t>
      </w:r>
    </w:p>
    <w:p>
      <w:pPr>
        <w:pStyle w:val="TextBody"/>
        <w:bidi w:val="0"/>
        <w:spacing w:before="0" w:after="27"/>
        <w:jc w:val="left"/>
        <w:rPr>
          <w:rFonts w:ascii="Times New Roman" w:hAnsi="Times New Roman"/>
          <w:sz w:val="20"/>
        </w:rPr>
      </w:pPr>
      <w:r>
        <w:rPr>
          <w:rFonts w:ascii="Times New Roman" w:hAnsi="Times New Roman"/>
          <w:b/>
          <w:color w:val="000000"/>
          <w:sz w:val="24"/>
        </w:rPr>
        <w:t>Confidential Information and Inventions Assignment Agreement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watt-ex31_1.htm"/>
      <w:bookmarkStart w:id="31" w:name="kswattex31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THE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Cesar Johnston, certify that: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Energous Corporation;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Date: November 13, 2023</w:t>
      </w:r>
    </w:p>
    <w:p>
      <w:pPr>
        <w:pStyle w:val="TextBody"/>
        <w:bidi w:val="0"/>
        <w:jc w:val="both"/>
        <w:rPr/>
      </w:pPr>
      <w:r>
        <w:rPr/>
        <w:t> </w:t>
      </w:r>
    </w:p>
    <w:tbl>
      <w:tblPr>
        <w:tblW w:w="3857" w:type="dxa"/>
        <w:jc w:val="left"/>
        <w:tblInd w:w="0" w:type="dxa"/>
        <w:tblLayout w:type="fixed"/>
        <w:tblCellMar>
          <w:top w:w="28" w:type="dxa"/>
          <w:left w:w="28" w:type="dxa"/>
          <w:bottom w:w="28" w:type="dxa"/>
          <w:right w:w="28" w:type="dxa"/>
        </w:tblCellMar>
      </w:tblPr>
      <w:tblGrid>
        <w:gridCol w:w="6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857"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Cesar Johnston</w:t>
            </w:r>
          </w:p>
        </w:tc>
      </w:tr>
      <w:tr>
        <w:trPr/>
        <w:tc>
          <w:tcPr>
            <w:tcW w:w="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Name:</w:t>
            </w:r>
          </w:p>
        </w:tc>
        <w:tc>
          <w:tcPr>
            <w:tcW w:w="3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Cesar Johnston</w:t>
            </w:r>
          </w:p>
        </w:tc>
      </w:tr>
      <w:tr>
        <w:trPr/>
        <w:tc>
          <w:tcPr>
            <w:tcW w:w="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Title:</w:t>
            </w:r>
          </w:p>
        </w:tc>
        <w:tc>
          <w:tcPr>
            <w:tcW w:w="3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watt-ex31_2.htm"/>
      <w:bookmarkStart w:id="33" w:name="kswattex31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OF THE PRINCIPAL EXECUTIVE AND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 Susan Kim-van Dongen, certify that: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Energous Corporation;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Date: November 13, 2023</w:t>
      </w:r>
    </w:p>
    <w:p>
      <w:pPr>
        <w:pStyle w:val="TextBody"/>
        <w:bidi w:val="0"/>
        <w:jc w:val="both"/>
        <w:rPr/>
      </w:pPr>
      <w:r>
        <w:rPr/>
        <w:t> </w:t>
      </w:r>
    </w:p>
    <w:tbl>
      <w:tblPr>
        <w:tblW w:w="3332" w:type="dxa"/>
        <w:jc w:val="left"/>
        <w:tblInd w:w="0" w:type="dxa"/>
        <w:tblLayout w:type="fixed"/>
        <w:tblCellMar>
          <w:top w:w="28" w:type="dxa"/>
          <w:left w:w="28" w:type="dxa"/>
          <w:bottom w:w="28" w:type="dxa"/>
          <w:right w:w="28" w:type="dxa"/>
        </w:tblCellMar>
      </w:tblPr>
      <w:tblGrid>
        <w:gridCol w:w="646"/>
        <w:gridCol w:w="2686"/>
      </w:tblGrid>
      <w:tr>
        <w:trPr/>
        <w:tc>
          <w:tcPr>
            <w:tcW w:w="64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332"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Susan Kim-van Dongen</w:t>
            </w:r>
          </w:p>
        </w:tc>
      </w:tr>
      <w:tr>
        <w:trPr/>
        <w:tc>
          <w:tcPr>
            <w:tcW w:w="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Name:</w:t>
            </w:r>
          </w:p>
        </w:tc>
        <w:tc>
          <w:tcPr>
            <w:tcW w:w="268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Susan Kim-van Dongen</w:t>
            </w:r>
          </w:p>
        </w:tc>
      </w:tr>
      <w:tr>
        <w:trPr/>
        <w:tc>
          <w:tcPr>
            <w:tcW w:w="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Title:</w:t>
            </w:r>
          </w:p>
        </w:tc>
        <w:tc>
          <w:tcPr>
            <w:tcW w:w="2686" w:type="dxa"/>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Interim Chief Financial Officer</w:t>
            </w:r>
            <w:r>
              <w:rPr>
                <w:rFonts w:ascii="Times New Roman" w:hAnsi="Times New Roman"/>
                <w:color w:val="000000"/>
                <w:sz w:val="20"/>
              </w:rPr>
              <w:t xml:space="preserve">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watt-ex32_1.htm"/>
      <w:bookmarkStart w:id="35" w:name="kswattex32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connection with the Quarterly Report of Energous Corporation (the “Company”) on Form 10-Q for the period ended September 30, 2023 as filed with the Securities and Exchange Commission on the date hereof (the “Report”), we, Cesar Johnston, President and Chief Executive Officer and Susan Kim-van Dongen, Interim Chief Financial Officer, certify, pursuant to 18 U.S.C. § 1350, as adopted pursuant to § 906 of the Sarbanes-Oxley Act of 2002, that: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bidi w:val="0"/>
        <w:jc w:val="both"/>
        <w:rPr/>
      </w:pPr>
      <w:r>
        <w:rPr/>
        <w:t> </w:t>
      </w:r>
    </w:p>
    <w:tbl>
      <w:tblPr>
        <w:tblW w:w="7522" w:type="dxa"/>
        <w:jc w:val="left"/>
        <w:tblInd w:w="0" w:type="dxa"/>
        <w:tblLayout w:type="fixed"/>
        <w:tblCellMar>
          <w:top w:w="28" w:type="dxa"/>
          <w:left w:w="28" w:type="dxa"/>
          <w:bottom w:w="28" w:type="dxa"/>
          <w:right w:w="28" w:type="dxa"/>
        </w:tblCellMar>
      </w:tblPr>
      <w:tblGrid>
        <w:gridCol w:w="646"/>
        <w:gridCol w:w="146"/>
        <w:gridCol w:w="3166"/>
        <w:gridCol w:w="146"/>
        <w:gridCol w:w="631"/>
        <w:gridCol w:w="1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Cesar Johnston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3418" w:type="dxa"/>
            <w:gridSpan w:val="3"/>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Susan Kim-van Dongen</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both"/>
              <w:rPr/>
            </w:pPr>
            <w:r>
              <w:rPr/>
              <w:t> </w:t>
            </w:r>
          </w:p>
        </w:tc>
        <w:tc>
          <w:tcPr>
            <w:tcW w:w="31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Cesar Johnston</w:t>
            </w:r>
          </w:p>
        </w:tc>
        <w:tc>
          <w:tcPr>
            <w:tcW w:w="14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46" w:type="dxa"/>
            <w:tcBorders/>
            <w:vAlign w:val="center"/>
          </w:tcPr>
          <w:p>
            <w:pPr>
              <w:pStyle w:val="TableContents"/>
              <w:bidi w:val="0"/>
              <w:spacing w:before="0" w:after="283"/>
              <w:jc w:val="both"/>
              <w:rPr/>
            </w:pPr>
            <w:r>
              <w:rPr/>
              <w:t> </w:t>
            </w:r>
          </w:p>
        </w:tc>
        <w:tc>
          <w:tcPr>
            <w:tcW w:w="264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Susan Kim-van Dongen</w:t>
            </w:r>
          </w:p>
        </w:tc>
      </w:tr>
      <w:tr>
        <w:trPr/>
        <w:tc>
          <w:tcPr>
            <w:tcW w:w="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both"/>
              <w:rPr/>
            </w:pPr>
            <w:r>
              <w:rPr/>
              <w:t> </w:t>
            </w:r>
          </w:p>
        </w:tc>
        <w:tc>
          <w:tcPr>
            <w:tcW w:w="31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President and Chief Executive Officer</w:t>
            </w:r>
          </w:p>
        </w:tc>
        <w:tc>
          <w:tcPr>
            <w:tcW w:w="14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Title:</w:t>
            </w:r>
          </w:p>
        </w:tc>
        <w:tc>
          <w:tcPr>
            <w:tcW w:w="146" w:type="dxa"/>
            <w:tcBorders/>
            <w:vAlign w:val="center"/>
          </w:tcPr>
          <w:p>
            <w:pPr>
              <w:pStyle w:val="TableContents"/>
              <w:bidi w:val="0"/>
              <w:spacing w:before="0" w:after="283"/>
              <w:jc w:val="both"/>
              <w:rPr/>
            </w:pPr>
            <w:r>
              <w:rPr/>
              <w:t> </w:t>
            </w:r>
          </w:p>
        </w:tc>
        <w:tc>
          <w:tcPr>
            <w:tcW w:w="264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Interim Chief Financial Officer</w:t>
            </w:r>
          </w:p>
        </w:tc>
      </w:tr>
      <w:tr>
        <w:trPr/>
        <w:tc>
          <w:tcPr>
            <w:tcW w:w="6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both"/>
              <w:rPr/>
            </w:pPr>
            <w:r>
              <w:rPr/>
              <w:t> </w:t>
            </w:r>
          </w:p>
        </w:tc>
        <w:tc>
          <w:tcPr>
            <w:tcW w:w="31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November 13, 2023</w:t>
            </w:r>
          </w:p>
        </w:tc>
        <w:tc>
          <w:tcPr>
            <w:tcW w:w="14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w:t>
            </w:r>
          </w:p>
        </w:tc>
        <w:tc>
          <w:tcPr>
            <w:tcW w:w="146" w:type="dxa"/>
            <w:tcBorders/>
            <w:vAlign w:val="center"/>
          </w:tcPr>
          <w:p>
            <w:pPr>
              <w:pStyle w:val="TableContents"/>
              <w:bidi w:val="0"/>
              <w:spacing w:before="0" w:after="283"/>
              <w:jc w:val="both"/>
              <w:rPr/>
            </w:pPr>
            <w:r>
              <w:rPr/>
              <w:t> </w:t>
            </w:r>
          </w:p>
        </w:tc>
        <w:tc>
          <w:tcPr>
            <w:tcW w:w="264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November 13, 2023</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316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641" w:type="dxa"/>
            <w:tcBorders/>
            <w:vAlign w:val="center"/>
          </w:tcPr>
          <w:p>
            <w:pPr>
              <w:pStyle w:val="TableContents"/>
              <w:bidi w:val="0"/>
              <w:spacing w:before="0" w:after="283"/>
              <w:jc w:val="both"/>
              <w:rPr/>
            </w:pPr>
            <w:r>
              <w:rPr/>
              <w:t> </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316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641" w:type="dxa"/>
            <w:tcBorders/>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36328</Words>
  <Characters>198778</Characters>
  <CharactersWithSpaces>235973</CharactersWithSpaces>
  <Paragraphs>4526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