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00" w:right="200" w:hanging="592"/>
        <w:spacing w:after="0" w:line="236" w:lineRule="auto"/>
        <w:tabs>
          <w:tab w:leader="none" w:pos="6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00" w:right="180" w:hanging="592"/>
        <w:spacing w:after="0" w:line="256" w:lineRule="auto"/>
        <w:tabs>
          <w:tab w:leader="none" w:pos="6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43180</wp:posOffset>
            </wp:positionV>
            <wp:extent cx="1183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001-36379</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ENERGOUS CORPORATION</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314" w:right="339" w:bottom="1440" w:gutter="0" w:footer="0" w:header="0"/>
        </w:sectPr>
      </w:pPr>
    </w:p>
    <w:p>
      <w:pPr>
        <w:spacing w:after="0" w:line="11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46-1318953</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108" w:lineRule="exact"/>
        <w:rPr>
          <w:sz w:val="24"/>
          <w:szCs w:val="24"/>
          <w:color w:val="auto"/>
        </w:rPr>
      </w:pPr>
    </w:p>
    <w:p>
      <w:pPr>
        <w:sectPr>
          <w:pgSz w:w="11900" w:h="16838" w:orient="portrait"/>
          <w:cols w:equalWidth="0" w:num="2">
            <w:col w:w="6480" w:space="720"/>
            <w:col w:w="4040"/>
          </w:cols>
          <w:pgMar w:left="320" w:top="314"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3590 North First Street, Suite 210, San Jose, CA 95134</w:t>
      </w:r>
    </w:p>
    <w:p>
      <w:pPr>
        <w:sectPr>
          <w:pgSz w:w="11900" w:h="16838" w:orient="portrait"/>
          <w:cols w:equalWidth="0" w:num="1">
            <w:col w:w="11240"/>
          </w:cols>
          <w:pgMar w:left="320" w:top="314" w:right="339" w:bottom="1440" w:gutter="0" w:footer="0" w:header="0"/>
          <w:type w:val="continuous"/>
        </w:sectPr>
      </w:pPr>
    </w:p>
    <w:p>
      <w:pPr>
        <w:spacing w:after="0" w:line="50" w:lineRule="exact"/>
        <w:rPr>
          <w:sz w:val="24"/>
          <w:szCs w:val="24"/>
          <w:color w:val="auto"/>
        </w:rPr>
      </w:pPr>
    </w:p>
    <w:p>
      <w:pPr>
        <w:ind w:left="4080"/>
        <w:spacing w:after="0"/>
        <w:rPr>
          <w:sz w:val="20"/>
          <w:szCs w:val="20"/>
          <w:color w:val="auto"/>
        </w:rPr>
      </w:pPr>
      <w:r>
        <w:rPr>
          <w:rFonts w:ascii="Arial" w:cs="Arial" w:eastAsia="Arial" w:hAnsi="Arial"/>
          <w:sz w:val="13"/>
          <w:szCs w:val="13"/>
          <w:i w:val="1"/>
          <w:i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(Zip code)</w:t>
      </w:r>
    </w:p>
    <w:p>
      <w:pPr>
        <w:spacing w:after="0" w:line="62" w:lineRule="exact"/>
        <w:rPr>
          <w:sz w:val="24"/>
          <w:szCs w:val="24"/>
          <w:color w:val="auto"/>
        </w:rPr>
      </w:pPr>
    </w:p>
    <w:p>
      <w:pPr>
        <w:sectPr>
          <w:pgSz w:w="11900" w:h="16838" w:orient="portrait"/>
          <w:cols w:equalWidth="0" w:num="2">
            <w:col w:w="6280" w:space="280"/>
            <w:col w:w="4680"/>
          </w:cols>
          <w:pgMar w:left="320" w:top="31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(408) 963-0200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5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40" w:type="dxa"/>
            <w:vAlign w:val="bottom"/>
          </w:tcPr>
          <w:p>
            <w:pPr>
              <w:spacing w:after="0"/>
              <w:rPr>
                <w:sz w:val="14"/>
                <w:szCs w:val="14"/>
                <w:color w:val="auto"/>
              </w:rPr>
            </w:pP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40" w:type="dxa"/>
            <w:vAlign w:val="bottom"/>
          </w:tcPr>
          <w:p>
            <w:pPr>
              <w:spacing w:after="0"/>
              <w:rPr>
                <w:sz w:val="14"/>
                <w:szCs w:val="14"/>
                <w:color w:val="auto"/>
              </w:rPr>
            </w:pPr>
          </w:p>
        </w:tc>
        <w:tc>
          <w:tcPr>
            <w:tcW w:w="4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80" w:type="dxa"/>
            <w:vAlign w:val="bottom"/>
          </w:tcPr>
          <w:p>
            <w:pPr>
              <w:jc w:val="center"/>
              <w:spacing w:after="0"/>
              <w:rPr>
                <w:sz w:val="20"/>
                <w:szCs w:val="20"/>
                <w:color w:val="auto"/>
              </w:rPr>
            </w:pPr>
            <w:r>
              <w:rPr>
                <w:rFonts w:ascii="Arial" w:cs="Arial" w:eastAsia="Arial" w:hAnsi="Arial"/>
                <w:sz w:val="14"/>
                <w:szCs w:val="14"/>
                <w:color w:val="auto"/>
                <w:w w:val="93"/>
              </w:rPr>
              <w:t>Common Stock, $0.00001 par value</w:t>
            </w:r>
          </w:p>
        </w:tc>
        <w:tc>
          <w:tcPr>
            <w:tcW w:w="2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5"/>
              </w:rPr>
              <w:t>WATT</w:t>
            </w:r>
          </w:p>
        </w:tc>
        <w:tc>
          <w:tcPr>
            <w:tcW w:w="240" w:type="dxa"/>
            <w:vAlign w:val="bottom"/>
          </w:tcPr>
          <w:p>
            <w:pPr>
              <w:spacing w:after="0"/>
              <w:rPr>
                <w:sz w:val="15"/>
                <w:szCs w:val="15"/>
                <w:color w:val="auto"/>
              </w:rPr>
            </w:pPr>
          </w:p>
        </w:tc>
        <w:tc>
          <w:tcPr>
            <w:tcW w:w="4260" w:type="dxa"/>
            <w:vAlign w:val="bottom"/>
          </w:tcPr>
          <w:p>
            <w:pPr>
              <w:jc w:val="center"/>
              <w:spacing w:after="0"/>
              <w:rPr>
                <w:sz w:val="20"/>
                <w:szCs w:val="20"/>
                <w:color w:val="auto"/>
              </w:rPr>
            </w:pPr>
            <w:r>
              <w:rPr>
                <w:rFonts w:ascii="Arial" w:cs="Arial" w:eastAsia="Arial" w:hAnsi="Arial"/>
                <w:sz w:val="14"/>
                <w:szCs w:val="14"/>
                <w:color w:val="auto"/>
                <w:w w:val="92"/>
              </w:rPr>
              <w:t>The Nasdaq Stock Market</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 w:lineRule="exact"/>
        <w:rPr>
          <w:sz w:val="24"/>
          <w:szCs w:val="24"/>
          <w:color w:val="auto"/>
        </w:rPr>
      </w:pPr>
    </w:p>
    <w:p>
      <w:pPr>
        <w:ind w:right="120" w:firstLine="432"/>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ind w:right="12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66" w:lineRule="exact"/>
        <w:rPr>
          <w:sz w:val="24"/>
          <w:szCs w:val="24"/>
          <w:color w:val="auto"/>
        </w:rPr>
      </w:pPr>
    </w:p>
    <w:p>
      <w:pPr>
        <w:ind w:right="80" w:firstLine="432"/>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40" w:right="1060"/>
        <w:spacing w:after="0" w:line="26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10, 2023, there were 91,055,881 shares of our Common Stock, par value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8"/>
              </w:rPr>
              <w:t>PART I - FINANCIAL INFORMATION</w:t>
            </w:r>
          </w:p>
        </w:tc>
        <w:tc>
          <w:tcPr>
            <w:tcW w:w="6100" w:type="dxa"/>
            <w:vAlign w:val="bottom"/>
            <w:gridSpan w:val="4"/>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1560" w:type="dxa"/>
            <w:vAlign w:val="bottom"/>
            <w:tcBorders>
              <w:bottom w:val="single" w:sz="8" w:color="0000EE"/>
            </w:tcBorders>
            <w:gridSpan w:val="5"/>
          </w:tcPr>
          <w:p>
            <w:pPr>
              <w:ind w:left="40"/>
              <w:spacing w:after="0"/>
              <w:rPr>
                <w:sz w:val="20"/>
                <w:szCs w:val="20"/>
                <w:color w:val="auto"/>
              </w:rPr>
            </w:pPr>
            <w:r>
              <w:rPr>
                <w:rFonts w:ascii="Arial" w:cs="Arial" w:eastAsia="Arial" w:hAnsi="Arial"/>
                <w:sz w:val="18"/>
                <w:szCs w:val="18"/>
                <w:color w:val="0000EE"/>
                <w:w w:val="89"/>
              </w:rPr>
              <w:t>Financial Statements</w:t>
            </w:r>
          </w:p>
        </w:tc>
        <w:tc>
          <w:tcPr>
            <w:tcW w:w="6940" w:type="dxa"/>
            <w:vAlign w:val="bottom"/>
            <w:gridSpan w:val="8"/>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4"/>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6500" w:type="dxa"/>
            <w:vAlign w:val="bottom"/>
            <w:tcBorders>
              <w:bottom w:val="single" w:sz="8" w:color="0000EE"/>
            </w:tcBorders>
            <w:gridSpan w:val="12"/>
          </w:tcPr>
          <w:p>
            <w:pPr>
              <w:ind w:left="40"/>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0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44"/>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8500" w:type="dxa"/>
            <w:vAlign w:val="bottom"/>
            <w:gridSpan w:val="13"/>
          </w:tcPr>
          <w:p>
            <w:pPr>
              <w:ind w:left="40"/>
              <w:spacing w:after="0"/>
              <w:rPr>
                <w:sz w:val="20"/>
                <w:szCs w:val="20"/>
                <w:color w:val="auto"/>
              </w:rPr>
            </w:pPr>
            <w:r>
              <w:rPr>
                <w:rFonts w:ascii="Arial" w:cs="Arial" w:eastAsia="Arial" w:hAnsi="Arial"/>
                <w:sz w:val="18"/>
                <w:szCs w:val="18"/>
                <w:color w:val="0000EE"/>
              </w:rPr>
              <w:t>Quantitative and Qualitative Disclosure About Market Risk</w:t>
            </w:r>
          </w:p>
        </w:tc>
        <w:tc>
          <w:tcPr>
            <w:tcW w:w="2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5"/>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1820" w:type="dxa"/>
            <w:vAlign w:val="bottom"/>
            <w:tcBorders>
              <w:top w:val="single" w:sz="8" w:color="0000EE"/>
              <w:bottom w:val="single" w:sz="8" w:color="0000EE"/>
            </w:tcBorders>
            <w:gridSpan w:val="6"/>
          </w:tcPr>
          <w:p>
            <w:pPr>
              <w:ind w:left="40"/>
              <w:spacing w:after="0"/>
              <w:rPr>
                <w:sz w:val="20"/>
                <w:szCs w:val="20"/>
                <w:color w:val="auto"/>
              </w:rPr>
            </w:pPr>
            <w:r>
              <w:rPr>
                <w:rFonts w:ascii="Arial" w:cs="Arial" w:eastAsia="Arial" w:hAnsi="Arial"/>
                <w:sz w:val="18"/>
                <w:szCs w:val="18"/>
                <w:color w:val="0000EE"/>
                <w:w w:val="88"/>
              </w:rPr>
              <w:t>Controls and Procedures</w:t>
            </w:r>
          </w:p>
        </w:tc>
        <w:tc>
          <w:tcPr>
            <w:tcW w:w="2500" w:type="dxa"/>
            <w:vAlign w:val="bottom"/>
            <w:tcBorders>
              <w:top w:val="single" w:sz="8" w:color="0000EE"/>
            </w:tcBorders>
            <w:gridSpan w:val="4"/>
          </w:tcPr>
          <w:p>
            <w:pPr>
              <w:spacing w:after="0"/>
              <w:rPr>
                <w:sz w:val="24"/>
                <w:szCs w:val="24"/>
                <w:color w:val="auto"/>
              </w:rPr>
            </w:pPr>
          </w:p>
        </w:tc>
        <w:tc>
          <w:tcPr>
            <w:tcW w:w="4180" w:type="dxa"/>
            <w:vAlign w:val="bottom"/>
            <w:gridSpan w:val="3"/>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44"/>
        </w:trPr>
        <w:tc>
          <w:tcPr>
            <w:tcW w:w="9060" w:type="dxa"/>
            <w:vAlign w:val="bottom"/>
            <w:gridSpan w:val="14"/>
          </w:tcPr>
          <w:p>
            <w:pPr>
              <w:spacing w:after="0"/>
              <w:rPr>
                <w:sz w:val="20"/>
                <w:szCs w:val="20"/>
                <w:color w:val="auto"/>
              </w:rPr>
            </w:pPr>
            <w:r>
              <w:rPr>
                <w:rFonts w:ascii="Arial" w:cs="Arial" w:eastAsia="Arial" w:hAnsi="Arial"/>
                <w:sz w:val="18"/>
                <w:szCs w:val="18"/>
                <w:color w:val="0000EE"/>
              </w:rPr>
              <w:t>PART II – OTHER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4"/>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2100" w:type="dxa"/>
            <w:vAlign w:val="bottom"/>
            <w:tcBorders>
              <w:top w:val="single" w:sz="8" w:color="0000EE"/>
            </w:tcBorders>
            <w:gridSpan w:val="7"/>
          </w:tcPr>
          <w:p>
            <w:pPr>
              <w:ind w:left="40"/>
              <w:spacing w:after="0"/>
              <w:rPr>
                <w:sz w:val="20"/>
                <w:szCs w:val="20"/>
                <w:color w:val="auto"/>
              </w:rPr>
            </w:pPr>
            <w:r>
              <w:rPr>
                <w:rFonts w:ascii="Arial" w:cs="Arial" w:eastAsia="Arial" w:hAnsi="Arial"/>
                <w:sz w:val="18"/>
                <w:szCs w:val="18"/>
                <w:color w:val="0000EE"/>
              </w:rPr>
              <w:t>Legal Proceedings</w:t>
            </w:r>
          </w:p>
        </w:tc>
        <w:tc>
          <w:tcPr>
            <w:tcW w:w="6400" w:type="dxa"/>
            <w:vAlign w:val="bottom"/>
            <w:gridSpan w:val="6"/>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19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Item 1A. Risk Factors</w:t>
            </w:r>
          </w:p>
        </w:tc>
        <w:tc>
          <w:tcPr>
            <w:tcW w:w="7120" w:type="dxa"/>
            <w:vAlign w:val="bottom"/>
            <w:gridSpan w:val="9"/>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44"/>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8500" w:type="dxa"/>
            <w:vAlign w:val="bottom"/>
            <w:gridSpan w:val="13"/>
          </w:tcPr>
          <w:p>
            <w:pPr>
              <w:ind w:left="40"/>
              <w:spacing w:after="0"/>
              <w:rPr>
                <w:sz w:val="20"/>
                <w:szCs w:val="20"/>
                <w:color w:val="auto"/>
              </w:rPr>
            </w:pPr>
            <w:r>
              <w:rPr>
                <w:rFonts w:ascii="Arial" w:cs="Arial" w:eastAsia="Arial" w:hAnsi="Arial"/>
                <w:sz w:val="18"/>
                <w:szCs w:val="18"/>
                <w:color w:val="0000EE"/>
              </w:rPr>
              <w:t>Recent Sales of Unregistered Securities; Use of Proceeds from Registered Securities</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44"/>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2380" w:type="dxa"/>
            <w:vAlign w:val="bottom"/>
            <w:tcBorders>
              <w:top w:val="single" w:sz="8" w:color="0000EE"/>
              <w:bottom w:val="single" w:sz="8" w:color="0000EE"/>
            </w:tcBorders>
            <w:gridSpan w:val="8"/>
          </w:tcPr>
          <w:p>
            <w:pPr>
              <w:ind w:left="40"/>
              <w:spacing w:after="0"/>
              <w:rPr>
                <w:sz w:val="20"/>
                <w:szCs w:val="20"/>
                <w:color w:val="auto"/>
              </w:rPr>
            </w:pPr>
            <w:r>
              <w:rPr>
                <w:rFonts w:ascii="Arial" w:cs="Arial" w:eastAsia="Arial" w:hAnsi="Arial"/>
                <w:sz w:val="18"/>
                <w:szCs w:val="18"/>
                <w:color w:val="0000EE"/>
                <w:w w:val="90"/>
              </w:rPr>
              <w:t>Defaults Upon Senior Securities</w:t>
            </w:r>
          </w:p>
        </w:tc>
        <w:tc>
          <w:tcPr>
            <w:tcW w:w="3740" w:type="dxa"/>
            <w:vAlign w:val="bottom"/>
            <w:tcBorders>
              <w:top w:val="single" w:sz="8" w:color="0000EE"/>
            </w:tcBorders>
            <w:gridSpan w:val="3"/>
          </w:tcPr>
          <w:p>
            <w:pPr>
              <w:spacing w:after="0"/>
              <w:rPr>
                <w:sz w:val="24"/>
                <w:szCs w:val="24"/>
                <w:color w:val="auto"/>
              </w:rPr>
            </w:pPr>
          </w:p>
        </w:tc>
        <w:tc>
          <w:tcPr>
            <w:tcW w:w="2380" w:type="dxa"/>
            <w:vAlign w:val="bottom"/>
            <w:gridSpan w:val="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44"/>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1820" w:type="dxa"/>
            <w:vAlign w:val="bottom"/>
            <w:tcBorders>
              <w:bottom w:val="single" w:sz="8" w:color="0000EE"/>
            </w:tcBorders>
            <w:gridSpan w:val="6"/>
          </w:tcPr>
          <w:p>
            <w:pPr>
              <w:ind w:left="40"/>
              <w:spacing w:after="0"/>
              <w:rPr>
                <w:sz w:val="20"/>
                <w:szCs w:val="20"/>
                <w:color w:val="auto"/>
              </w:rPr>
            </w:pPr>
            <w:r>
              <w:rPr>
                <w:rFonts w:ascii="Arial" w:cs="Arial" w:eastAsia="Arial" w:hAnsi="Arial"/>
                <w:sz w:val="18"/>
                <w:szCs w:val="18"/>
                <w:color w:val="0000EE"/>
                <w:w w:val="91"/>
              </w:rPr>
              <w:t>Mine Safety Disclosures</w:t>
            </w:r>
          </w:p>
        </w:tc>
        <w:tc>
          <w:tcPr>
            <w:tcW w:w="6680" w:type="dxa"/>
            <w:vAlign w:val="bottom"/>
            <w:gridSpan w:val="7"/>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45"/>
        </w:trPr>
        <w:tc>
          <w:tcPr>
            <w:tcW w:w="560" w:type="dxa"/>
            <w:vAlign w:val="bottom"/>
          </w:tcPr>
          <w:p>
            <w:pPr>
              <w:spacing w:after="0"/>
              <w:rPr>
                <w:sz w:val="20"/>
                <w:szCs w:val="20"/>
                <w:color w:val="auto"/>
              </w:rPr>
            </w:pPr>
            <w:r>
              <w:rPr>
                <w:rFonts w:ascii="Arial" w:cs="Arial" w:eastAsia="Arial" w:hAnsi="Arial"/>
                <w:sz w:val="18"/>
                <w:szCs w:val="18"/>
                <w:color w:val="0000EE"/>
                <w:w w:val="98"/>
              </w:rPr>
              <w:t>Item 5.</w:t>
            </w:r>
          </w:p>
        </w:tc>
        <w:tc>
          <w:tcPr>
            <w:tcW w:w="8500" w:type="dxa"/>
            <w:vAlign w:val="bottom"/>
            <w:gridSpan w:val="13"/>
          </w:tcPr>
          <w:p>
            <w:pPr>
              <w:ind w:left="40"/>
              <w:spacing w:after="0"/>
              <w:rPr>
                <w:sz w:val="20"/>
                <w:szCs w:val="20"/>
                <w:color w:val="auto"/>
              </w:rPr>
            </w:pPr>
            <w:r>
              <w:rPr>
                <w:rFonts w:ascii="Arial" w:cs="Arial" w:eastAsia="Arial" w:hAnsi="Arial"/>
                <w:sz w:val="18"/>
                <w:szCs w:val="18"/>
                <w:color w:val="0000EE"/>
              </w:rPr>
              <w:t>Other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45"/>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6.</w:t>
            </w:r>
          </w:p>
        </w:tc>
        <w:tc>
          <w:tcPr>
            <w:tcW w:w="1360" w:type="dxa"/>
            <w:vAlign w:val="bottom"/>
            <w:tcBorders>
              <w:top w:val="single" w:sz="8" w:color="0000EE"/>
            </w:tcBorders>
            <w:gridSpan w:val="3"/>
          </w:tcPr>
          <w:p>
            <w:pPr>
              <w:ind w:left="40"/>
              <w:spacing w:after="0"/>
              <w:rPr>
                <w:sz w:val="20"/>
                <w:szCs w:val="20"/>
                <w:color w:val="auto"/>
              </w:rPr>
            </w:pPr>
            <w:r>
              <w:rPr>
                <w:rFonts w:ascii="Arial" w:cs="Arial" w:eastAsia="Arial" w:hAnsi="Arial"/>
                <w:sz w:val="18"/>
                <w:szCs w:val="18"/>
                <w:color w:val="0000EE"/>
              </w:rPr>
              <w:t>Exhibits</w:t>
            </w:r>
          </w:p>
        </w:tc>
        <w:tc>
          <w:tcPr>
            <w:tcW w:w="7140" w:type="dxa"/>
            <w:vAlign w:val="bottom"/>
            <w:gridSpan w:val="10"/>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1350"/>
        </w:trPr>
        <w:tc>
          <w:tcPr>
            <w:tcW w:w="56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March 31, 2023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w w:val="96"/>
              </w:rPr>
              <w:t>December 31,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33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26,339,960</w:t>
            </w:r>
          </w:p>
        </w:tc>
        <w:tc>
          <w:tcPr>
            <w:tcW w:w="2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26,287,293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100,935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71,597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649,479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827,551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27,161,971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27,364,018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383,238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1,778,512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1,959,869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29,323,721</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29,752,922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172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1,351,018</w:t>
            </w:r>
          </w:p>
        </w:tc>
        <w:tc>
          <w:tcPr>
            <w:tcW w:w="2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900,765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1,370,046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Accrued severance expense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249,610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416,516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3,135,000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702,780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705,894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6,844,345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3,843,316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long-term portion</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1,090,639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1,264,131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7,934,984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5,107,447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Preferred Stock, $0.00001 par value, 10,000,000 shares authorized at March 31, 2023 and</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December 31, 2022; no shares issued or outstanding at March 31, 2023 and December 31, 2022.</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460" w:type="dxa"/>
            <w:vAlign w:val="bottom"/>
          </w:tcPr>
          <w:p>
            <w:pPr>
              <w:ind w:left="260"/>
              <w:spacing w:after="0"/>
              <w:rPr>
                <w:sz w:val="20"/>
                <w:szCs w:val="20"/>
                <w:color w:val="auto"/>
              </w:rPr>
            </w:pPr>
            <w:r>
              <w:rPr>
                <w:rFonts w:ascii="Arial" w:cs="Arial" w:eastAsia="Arial" w:hAnsi="Arial"/>
                <w:sz w:val="18"/>
                <w:szCs w:val="18"/>
                <w:color w:val="auto"/>
                <w:w w:val="98"/>
              </w:rPr>
              <w:t>Common Stock, $0.00001 par value, 200,000,000 shares authorized at March 31, 2023 and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60"/>
              <w:spacing w:after="0"/>
              <w:rPr>
                <w:sz w:val="20"/>
                <w:szCs w:val="20"/>
                <w:color w:val="auto"/>
              </w:rPr>
            </w:pPr>
            <w:r>
              <w:rPr>
                <w:rFonts w:ascii="Arial" w:cs="Arial" w:eastAsia="Arial" w:hAnsi="Arial"/>
                <w:sz w:val="18"/>
                <w:szCs w:val="18"/>
                <w:color w:val="auto"/>
                <w:w w:val="91"/>
              </w:rPr>
              <w:t>December 31, 2022; 91,032,030 and 78,944,954 shares issued and outstanding at March 31, 2023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and December 31, 2022, respectively.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390,715,632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387,319,985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(369,327,806)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(362,675,299)</w:t>
            </w:r>
          </w:p>
        </w:tc>
        <w:tc>
          <w:tcPr>
            <w:tcW w:w="0" w:type="dxa"/>
            <w:vAlign w:val="bottom"/>
          </w:tcPr>
          <w:p>
            <w:pPr>
              <w:spacing w:after="0"/>
              <w:rPr>
                <w:sz w:val="1"/>
                <w:szCs w:val="1"/>
                <w:color w:val="auto"/>
              </w:rPr>
            </w:pPr>
          </w:p>
        </w:tc>
      </w:tr>
      <w:tr>
        <w:trPr>
          <w:trHeight w:val="223"/>
        </w:trPr>
        <w:tc>
          <w:tcPr>
            <w:tcW w:w="7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21,388,737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24,645,475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29,323,721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29,752,922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78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96,676</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138,813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203,249</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3,078,524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3,527,146</w:t>
            </w:r>
          </w:p>
        </w:tc>
        <w:tc>
          <w:tcPr>
            <w:tcW w:w="100" w:type="dxa"/>
            <w:vAlign w:val="bottom"/>
          </w:tcPr>
          <w:p>
            <w:pPr>
              <w:spacing w:after="0"/>
              <w:rPr>
                <w:sz w:val="19"/>
                <w:szCs w:val="19"/>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1,211,938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1,613,590</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1,961,460</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2,027,520</w:t>
            </w:r>
          </w:p>
        </w:tc>
        <w:tc>
          <w:tcPr>
            <w:tcW w:w="100" w:type="dxa"/>
            <w:vAlign w:val="bottom"/>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6,390,735</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7,371,505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(6,294,059)</w:t>
            </w:r>
          </w:p>
        </w:tc>
        <w:tc>
          <w:tcPr>
            <w:tcW w:w="3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(7,155,544)</w:t>
            </w: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Offering costs related to warrant liability</w:t>
            </w:r>
          </w:p>
        </w:tc>
        <w:tc>
          <w:tcPr>
            <w:tcW w:w="2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(591,670)</w:t>
            </w:r>
          </w:p>
        </w:tc>
        <w:tc>
          <w:tcPr>
            <w:tcW w:w="3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233,222</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860" w:type="dxa"/>
            <w:vAlign w:val="bottom"/>
          </w:tcPr>
          <w:p>
            <w:pPr>
              <w:ind w:left="500"/>
              <w:spacing w:after="0"/>
              <w:rPr>
                <w:sz w:val="20"/>
                <w:szCs w:val="20"/>
                <w:color w:val="auto"/>
              </w:rPr>
            </w:pPr>
            <w:r>
              <w:rPr>
                <w:rFonts w:ascii="Arial" w:cs="Arial" w:eastAsia="Arial" w:hAnsi="Arial"/>
                <w:sz w:val="18"/>
                <w:szCs w:val="18"/>
                <w:color w:val="auto"/>
              </w:rPr>
              <w:t>Total other (expense) income</w:t>
            </w:r>
          </w:p>
        </w:tc>
        <w:tc>
          <w:tcPr>
            <w:tcW w:w="2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(358,448)</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(6,652,507)</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(7,152,718)</w:t>
            </w:r>
          </w:p>
        </w:tc>
      </w:tr>
      <w:tr>
        <w:trPr>
          <w:trHeight w:val="210"/>
        </w:trPr>
        <w:tc>
          <w:tcPr>
            <w:tcW w:w="78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Basic and diluted loss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top w:val="single" w:sz="8" w:color="CFF0FC"/>
            </w:tcBorders>
          </w:tcPr>
          <w:p>
            <w:pPr>
              <w:spacing w:after="0"/>
              <w:rPr>
                <w:sz w:val="18"/>
                <w:szCs w:val="18"/>
                <w:color w:val="auto"/>
              </w:rPr>
            </w:pPr>
          </w:p>
        </w:tc>
      </w:tr>
      <w:tr>
        <w:trPr>
          <w:trHeight w:val="20"/>
        </w:trPr>
        <w:tc>
          <w:tcPr>
            <w:tcW w:w="78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50"/>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81,408,347</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76,930,919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240" w:type="dxa"/>
            <w:vAlign w:val="bottom"/>
            <w:gridSpan w:val="3"/>
            <w:vMerge w:val="restart"/>
          </w:tcPr>
          <w:p>
            <w:pPr>
              <w:jc w:val="right"/>
              <w:ind w:right="446"/>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224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160" w:type="dxa"/>
            <w:vAlign w:val="bottom"/>
            <w:tcBorders>
              <w:bottom w:val="single" w:sz="8" w:color="auto"/>
            </w:tcBorders>
          </w:tcPr>
          <w:p>
            <w:pPr>
              <w:jc w:val="right"/>
              <w:ind w:right="30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4"/>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4"/>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January 1, 2023</w:t>
            </w: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78,944,954</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789</w:t>
            </w:r>
          </w:p>
        </w:tc>
        <w:tc>
          <w:tcPr>
            <w:tcW w:w="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387,319,985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(362,675,299)</w:t>
            </w:r>
          </w:p>
        </w:tc>
        <w:tc>
          <w:tcPr>
            <w:tcW w:w="2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24,645,475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tcPr>
          <w:p>
            <w:pPr>
              <w:spacing w:after="0"/>
              <w:rPr>
                <w:sz w:val="20"/>
                <w:szCs w:val="20"/>
                <w:color w:val="auto"/>
              </w:rPr>
            </w:pPr>
            <w:r>
              <w:rPr>
                <w:rFonts w:ascii="Arial" w:cs="Arial" w:eastAsia="Arial" w:hAnsi="Arial"/>
                <w:sz w:val="15"/>
                <w:szCs w:val="15"/>
                <w:color w:val="auto"/>
              </w:rPr>
              <w:t>Stock-based compensation - options</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21,095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21,095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Stock-based compensation - restricted</w:t>
            </w: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spacing w:after="0"/>
              <w:rPr>
                <w:sz w:val="20"/>
                <w:szCs w:val="20"/>
                <w:color w:val="auto"/>
              </w:rPr>
            </w:pPr>
            <w:r>
              <w:rPr>
                <w:rFonts w:ascii="Arial" w:cs="Arial" w:eastAsia="Arial" w:hAnsi="Arial"/>
                <w:sz w:val="15"/>
                <w:szCs w:val="15"/>
                <w:color w:val="auto"/>
              </w:rPr>
              <w:t>stock units ("RSUs")</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476,242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476,242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line="162" w:lineRule="exact"/>
              <w:rPr>
                <w:sz w:val="20"/>
                <w:szCs w:val="20"/>
                <w:color w:val="auto"/>
              </w:rPr>
            </w:pPr>
            <w:r>
              <w:rPr>
                <w:rFonts w:ascii="Arial" w:cs="Arial" w:eastAsia="Arial" w:hAnsi="Arial"/>
                <w:sz w:val="15"/>
                <w:szCs w:val="15"/>
                <w:color w:val="auto"/>
              </w:rPr>
              <w:t>Stock-based compensation - employee</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tcPr>
          <w:p>
            <w:pPr>
              <w:spacing w:after="0"/>
              <w:rPr>
                <w:sz w:val="20"/>
                <w:szCs w:val="20"/>
                <w:color w:val="auto"/>
              </w:rPr>
            </w:pPr>
            <w:r>
              <w:rPr>
                <w:rFonts w:ascii="Arial" w:cs="Arial" w:eastAsia="Arial" w:hAnsi="Arial"/>
                <w:sz w:val="15"/>
                <w:szCs w:val="15"/>
                <w:color w:val="auto"/>
              </w:rPr>
              <w:t>stock purchase plan ("ESPP")</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24,740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24,740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CFF0FC"/>
          </w:tcPr>
          <w:p>
            <w:pPr>
              <w:spacing w:after="0"/>
              <w:rPr>
                <w:sz w:val="20"/>
                <w:szCs w:val="20"/>
                <w:color w:val="auto"/>
              </w:rPr>
            </w:pPr>
            <w:r>
              <w:rPr>
                <w:rFonts w:ascii="Arial" w:cs="Arial" w:eastAsia="Arial" w:hAnsi="Arial"/>
                <w:sz w:val="15"/>
                <w:szCs w:val="15"/>
                <w:color w:val="auto"/>
              </w:rPr>
              <w:t>Issuance of shares for RSUs</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186,878</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460" w:type="dxa"/>
            <w:vAlign w:val="bottom"/>
          </w:tcPr>
          <w:p>
            <w:pPr>
              <w:spacing w:after="0"/>
              <w:rPr>
                <w:sz w:val="20"/>
                <w:szCs w:val="20"/>
                <w:color w:val="auto"/>
              </w:rPr>
            </w:pPr>
            <w:r>
              <w:rPr>
                <w:rFonts w:ascii="Arial" w:cs="Arial" w:eastAsia="Arial" w:hAnsi="Arial"/>
                <w:sz w:val="15"/>
                <w:szCs w:val="15"/>
                <w:color w:val="auto"/>
              </w:rPr>
              <w:t>Proceeds from contributions to the ESPP</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65,134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65,134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Issuance of shares in an at-the-market ("ATM") placement, net of</w:t>
            </w: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spacing w:after="0"/>
              <w:rPr>
                <w:sz w:val="20"/>
                <w:szCs w:val="20"/>
                <w:color w:val="auto"/>
              </w:rPr>
            </w:pPr>
            <w:r>
              <w:rPr>
                <w:rFonts w:ascii="Arial" w:cs="Arial" w:eastAsia="Arial" w:hAnsi="Arial"/>
                <w:sz w:val="15"/>
                <w:szCs w:val="15"/>
                <w:color w:val="auto"/>
              </w:rPr>
              <w:t>$68,637 in issuance costs</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3,650,198</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2,674,660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2,674,697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line="162" w:lineRule="exact"/>
              <w:rPr>
                <w:sz w:val="20"/>
                <w:szCs w:val="20"/>
                <w:color w:val="auto"/>
              </w:rPr>
            </w:pPr>
            <w:r>
              <w:rPr>
                <w:rFonts w:ascii="Arial" w:cs="Arial" w:eastAsia="Arial" w:hAnsi="Arial"/>
                <w:sz w:val="15"/>
                <w:szCs w:val="15"/>
                <w:color w:val="auto"/>
                <w:w w:val="99"/>
              </w:rPr>
              <w:t>Issuance of shares in a sale of common stock, net of $3,166,139 in</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60" w:type="dxa"/>
            <w:vAlign w:val="bottom"/>
          </w:tcPr>
          <w:p>
            <w:pPr>
              <w:spacing w:after="0"/>
              <w:rPr>
                <w:sz w:val="20"/>
                <w:szCs w:val="20"/>
                <w:color w:val="auto"/>
              </w:rPr>
            </w:pPr>
            <w:r>
              <w:rPr>
                <w:rFonts w:ascii="Arial" w:cs="Arial" w:eastAsia="Arial" w:hAnsi="Arial"/>
                <w:sz w:val="15"/>
                <w:szCs w:val="15"/>
                <w:color w:val="auto"/>
              </w:rPr>
              <w:t>issuance costs and fair value of a liability warrant</w:t>
            </w:r>
          </w:p>
        </w:tc>
        <w:tc>
          <w:tcPr>
            <w:tcW w:w="1160" w:type="dxa"/>
            <w:vAlign w:val="bottom"/>
          </w:tcPr>
          <w:p>
            <w:pPr>
              <w:jc w:val="right"/>
              <w:spacing w:after="0"/>
              <w:rPr>
                <w:sz w:val="20"/>
                <w:szCs w:val="20"/>
                <w:color w:val="auto"/>
              </w:rPr>
            </w:pPr>
            <w:r>
              <w:rPr>
                <w:rFonts w:ascii="Arial" w:cs="Arial" w:eastAsia="Arial" w:hAnsi="Arial"/>
                <w:sz w:val="15"/>
                <w:szCs w:val="15"/>
                <w:color w:val="auto"/>
              </w:rPr>
              <w:t>8,250,000</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83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133,778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133,861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(6,652,507)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(6,652,507)</w:t>
            </w: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Balance at March 31, 2023 (unaudited)</w:t>
            </w: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91,032,030</w:t>
            </w:r>
          </w:p>
        </w:tc>
        <w:tc>
          <w:tcPr>
            <w:tcW w:w="1080" w:type="dxa"/>
            <w:vAlign w:val="bottom"/>
            <w:gridSpan w:val="2"/>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911</w:t>
            </w: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390,715,632</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(369,327,806)</w:t>
            </w:r>
          </w:p>
        </w:tc>
        <w:tc>
          <w:tcPr>
            <w:tcW w:w="2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21,388,737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5"/>
              </w:rPr>
              <w:t>Additional</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224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5"/>
                <w:szCs w:val="15"/>
                <w:b w:val="1"/>
                <w:bCs w:val="1"/>
                <w:color w:val="auto"/>
              </w:rPr>
              <w:t>Common Stock</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Paid-in</w:t>
            </w:r>
          </w:p>
        </w:tc>
        <w:tc>
          <w:tcPr>
            <w:tcW w:w="10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160" w:type="dxa"/>
            <w:vAlign w:val="bottom"/>
            <w:tcBorders>
              <w:bottom w:val="single" w:sz="8" w:color="auto"/>
            </w:tcBorders>
          </w:tcPr>
          <w:p>
            <w:pPr>
              <w:jc w:val="right"/>
              <w:ind w:right="304"/>
              <w:spacing w:after="0" w:line="169" w:lineRule="exact"/>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4"/>
              <w:spacing w:after="0" w:line="169" w:lineRule="exact"/>
              <w:rPr>
                <w:sz w:val="20"/>
                <w:szCs w:val="20"/>
                <w:color w:val="auto"/>
              </w:rPr>
            </w:pPr>
            <w:r>
              <w:rPr>
                <w:rFonts w:ascii="Arial" w:cs="Arial" w:eastAsia="Arial" w:hAnsi="Arial"/>
                <w:sz w:val="15"/>
                <w:szCs w:val="15"/>
                <w:b w:val="1"/>
                <w:bCs w:val="1"/>
                <w:color w:val="auto"/>
                <w:w w:val="95"/>
              </w:rPr>
              <w:t>Capital</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4"/>
              <w:spacing w:after="0" w:line="169" w:lineRule="exact"/>
              <w:rPr>
                <w:sz w:val="20"/>
                <w:szCs w:val="20"/>
                <w:color w:val="auto"/>
              </w:rPr>
            </w:pPr>
            <w:r>
              <w:rPr>
                <w:rFonts w:ascii="Arial" w:cs="Arial" w:eastAsia="Arial" w:hAnsi="Arial"/>
                <w:sz w:val="15"/>
                <w:szCs w:val="15"/>
                <w:b w:val="1"/>
                <w:bCs w:val="1"/>
                <w:color w:val="auto"/>
                <w:w w:val="95"/>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4"/>
              <w:spacing w:after="0" w:line="169" w:lineRule="exact"/>
              <w:rPr>
                <w:sz w:val="20"/>
                <w:szCs w:val="20"/>
                <w:color w:val="auto"/>
              </w:rPr>
            </w:pPr>
            <w:r>
              <w:rPr>
                <w:rFonts w:ascii="Arial" w:cs="Arial" w:eastAsia="Arial" w:hAnsi="Arial"/>
                <w:sz w:val="15"/>
                <w:szCs w:val="15"/>
                <w:b w:val="1"/>
                <w:bCs w:val="1"/>
                <w:color w:val="auto"/>
                <w:w w:val="95"/>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January 1, 2022</w:t>
            </w: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76,667,205</w:t>
            </w:r>
          </w:p>
        </w:tc>
        <w:tc>
          <w:tcPr>
            <w:tcW w:w="1080" w:type="dxa"/>
            <w:vAlign w:val="bottom"/>
            <w:gridSpan w:val="2"/>
            <w:shd w:val="clear" w:color="auto" w:fill="CFF0FC"/>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767</w:t>
            </w:r>
          </w:p>
        </w:tc>
        <w:tc>
          <w:tcPr>
            <w:tcW w:w="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383,383,550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(336,400,039)</w:t>
            </w:r>
          </w:p>
        </w:tc>
        <w:tc>
          <w:tcPr>
            <w:tcW w:w="2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46,984,278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60" w:type="dxa"/>
            <w:vAlign w:val="bottom"/>
          </w:tcPr>
          <w:p>
            <w:pPr>
              <w:spacing w:after="0"/>
              <w:rPr>
                <w:sz w:val="20"/>
                <w:szCs w:val="20"/>
                <w:color w:val="auto"/>
              </w:rPr>
            </w:pPr>
            <w:r>
              <w:rPr>
                <w:rFonts w:ascii="Arial" w:cs="Arial" w:eastAsia="Arial" w:hAnsi="Arial"/>
                <w:sz w:val="15"/>
                <w:szCs w:val="15"/>
                <w:color w:val="auto"/>
              </w:rPr>
              <w:t>Stock-based compensation - options</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10,313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10,313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spacing w:after="0"/>
              <w:rPr>
                <w:sz w:val="20"/>
                <w:szCs w:val="20"/>
                <w:color w:val="auto"/>
              </w:rPr>
            </w:pPr>
            <w:r>
              <w:rPr>
                <w:rFonts w:ascii="Arial" w:cs="Arial" w:eastAsia="Arial" w:hAnsi="Arial"/>
                <w:sz w:val="15"/>
                <w:szCs w:val="15"/>
                <w:color w:val="auto"/>
              </w:rPr>
              <w:t>Stock-based compensation - RSUs</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745,620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745,620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tcPr>
          <w:p>
            <w:pPr>
              <w:spacing w:after="0"/>
              <w:rPr>
                <w:sz w:val="20"/>
                <w:szCs w:val="20"/>
                <w:color w:val="auto"/>
              </w:rPr>
            </w:pPr>
            <w:r>
              <w:rPr>
                <w:rFonts w:ascii="Arial" w:cs="Arial" w:eastAsia="Arial" w:hAnsi="Arial"/>
                <w:sz w:val="15"/>
                <w:szCs w:val="15"/>
                <w:color w:val="auto"/>
              </w:rPr>
              <w:t>Stock-based compensation - ESPP</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40,973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40,973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CFF0FC"/>
          </w:tcPr>
          <w:p>
            <w:pPr>
              <w:spacing w:after="0"/>
              <w:rPr>
                <w:sz w:val="20"/>
                <w:szCs w:val="20"/>
                <w:color w:val="auto"/>
              </w:rPr>
            </w:pPr>
            <w:r>
              <w:rPr>
                <w:rFonts w:ascii="Arial" w:cs="Arial" w:eastAsia="Arial" w:hAnsi="Arial"/>
                <w:sz w:val="15"/>
                <w:szCs w:val="15"/>
                <w:color w:val="auto"/>
              </w:rPr>
              <w:t>Issuance of shares for RSUs</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387,823</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w:t>
            </w: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460" w:type="dxa"/>
            <w:vAlign w:val="bottom"/>
          </w:tcPr>
          <w:p>
            <w:pPr>
              <w:spacing w:after="0"/>
              <w:rPr>
                <w:sz w:val="20"/>
                <w:szCs w:val="20"/>
                <w:color w:val="auto"/>
              </w:rPr>
            </w:pPr>
            <w:r>
              <w:rPr>
                <w:rFonts w:ascii="Arial" w:cs="Arial" w:eastAsia="Arial" w:hAnsi="Arial"/>
                <w:sz w:val="15"/>
                <w:szCs w:val="15"/>
                <w:color w:val="auto"/>
              </w:rPr>
              <w:t>Proceeds from contributions to the ESPP</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104,217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104,217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(7,152,718)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(7,152,718)</w:t>
            </w:r>
          </w:p>
        </w:tc>
        <w:tc>
          <w:tcPr>
            <w:tcW w:w="0" w:type="dxa"/>
            <w:vAlign w:val="bottom"/>
          </w:tcPr>
          <w:p>
            <w:pPr>
              <w:spacing w:after="0"/>
              <w:rPr>
                <w:sz w:val="1"/>
                <w:szCs w:val="1"/>
                <w:color w:val="auto"/>
              </w:rPr>
            </w:pPr>
          </w:p>
        </w:tc>
      </w:tr>
      <w:tr>
        <w:trPr>
          <w:trHeight w:val="20"/>
        </w:trPr>
        <w:tc>
          <w:tcPr>
            <w:tcW w:w="446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Balance at March 31, 2022 (unaudited)</w:t>
            </w: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77,055,028</w:t>
            </w:r>
          </w:p>
        </w:tc>
        <w:tc>
          <w:tcPr>
            <w:tcW w:w="1080" w:type="dxa"/>
            <w:vAlign w:val="bottom"/>
            <w:gridSpan w:val="2"/>
          </w:tcPr>
          <w:p>
            <w:pPr>
              <w:jc w:val="right"/>
              <w:ind w:right="706"/>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771</w:t>
            </w:r>
          </w:p>
        </w:tc>
        <w:tc>
          <w:tcPr>
            <w:tcW w:w="3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384,284,669</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(343,552,757)</w:t>
            </w:r>
          </w:p>
        </w:tc>
        <w:tc>
          <w:tcPr>
            <w:tcW w:w="2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40,732,683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For the Three Months Ended</w:t>
      </w:r>
    </w:p>
    <w:p>
      <w:pPr>
        <w:jc w:val="center"/>
        <w:ind w:left="7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6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(6,652,507)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(7,152,718)</w:t>
            </w: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45,797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70,119</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ind w:left="740"/>
              <w:spacing w:after="0"/>
              <w:rPr>
                <w:sz w:val="20"/>
                <w:szCs w:val="20"/>
                <w:color w:val="auto"/>
              </w:rPr>
            </w:pPr>
            <w:r>
              <w:rPr>
                <w:rFonts w:ascii="Arial" w:cs="Arial" w:eastAsia="Arial" w:hAnsi="Arial"/>
                <w:sz w:val="18"/>
                <w:szCs w:val="18"/>
                <w:color w:val="auto"/>
              </w:rPr>
              <w:t>Stock based compensation</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522,077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796,906</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operating lease right-of-use assets</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181,357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186,736</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ind w:left="740"/>
              <w:spacing w:after="0"/>
              <w:rPr>
                <w:sz w:val="20"/>
                <w:szCs w:val="20"/>
                <w:color w:val="auto"/>
              </w:rPr>
            </w:pPr>
            <w:r>
              <w:rPr>
                <w:rFonts w:ascii="Arial" w:cs="Arial" w:eastAsia="Arial" w:hAnsi="Arial"/>
                <w:sz w:val="18"/>
                <w:szCs w:val="18"/>
                <w:color w:val="auto"/>
              </w:rPr>
              <w:t>Inventory net realizable adjustment</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111,019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Bad debt expense</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(12,500)</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Pr>
          <w:p>
            <w:pPr>
              <w:ind w:left="740"/>
              <w:spacing w:after="0"/>
              <w:rPr>
                <w:sz w:val="20"/>
                <w:szCs w:val="20"/>
                <w:color w:val="auto"/>
              </w:rPr>
            </w:pPr>
            <w:r>
              <w:rPr>
                <w:rFonts w:ascii="Arial" w:cs="Arial" w:eastAsia="Arial" w:hAnsi="Arial"/>
                <w:sz w:val="18"/>
                <w:szCs w:val="18"/>
                <w:color w:val="auto"/>
              </w:rPr>
              <w:t>Offering costs allocated to warrants</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591,670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44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54,918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84,678</w:t>
            </w:r>
          </w:p>
        </w:tc>
        <w:tc>
          <w:tcPr>
            <w:tcW w:w="100" w:type="dxa"/>
            <w:vAlign w:val="bottom"/>
          </w:tcPr>
          <w:p>
            <w:pPr>
              <w:spacing w:after="0"/>
              <w:rPr>
                <w:sz w:val="19"/>
                <w:szCs w:val="19"/>
                <w:color w:val="auto"/>
              </w:rPr>
            </w:pPr>
          </w:p>
        </w:tc>
      </w:tr>
      <w:tr>
        <w:trPr>
          <w:trHeight w:val="229"/>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Inventory</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(76,795)</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(68,480)</w:t>
            </w:r>
          </w:p>
        </w:tc>
      </w:tr>
      <w:tr>
        <w:trPr>
          <w:trHeight w:val="229"/>
        </w:trPr>
        <w:tc>
          <w:tcPr>
            <w:tcW w:w="644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178,072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443,216</w:t>
            </w:r>
          </w:p>
        </w:tc>
        <w:tc>
          <w:tcPr>
            <w:tcW w:w="100" w:type="dxa"/>
            <w:vAlign w:val="bottom"/>
          </w:tcPr>
          <w:p>
            <w:pPr>
              <w:spacing w:after="0"/>
              <w:rPr>
                <w:sz w:val="19"/>
                <w:szCs w:val="19"/>
                <w:color w:val="auto"/>
              </w:rPr>
            </w:pPr>
          </w:p>
        </w:tc>
      </w:tr>
      <w:tr>
        <w:trPr>
          <w:trHeight w:val="230"/>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450,253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(271,044)</w:t>
            </w:r>
          </w:p>
        </w:tc>
      </w:tr>
      <w:tr>
        <w:trPr>
          <w:trHeight w:val="229"/>
        </w:trPr>
        <w:tc>
          <w:tcPr>
            <w:tcW w:w="644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(420,368)</w:t>
            </w:r>
          </w:p>
        </w:tc>
        <w:tc>
          <w:tcPr>
            <w:tcW w:w="3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(180,535)</w:t>
            </w:r>
          </w:p>
        </w:tc>
      </w:tr>
      <w:tr>
        <w:trPr>
          <w:trHeight w:val="230"/>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severance expense</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(166,906)</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(65,566)</w:t>
            </w:r>
          </w:p>
        </w:tc>
      </w:tr>
      <w:tr>
        <w:trPr>
          <w:trHeight w:val="229"/>
        </w:trPr>
        <w:tc>
          <w:tcPr>
            <w:tcW w:w="644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(176,606)</w:t>
            </w:r>
          </w:p>
        </w:tc>
        <w:tc>
          <w:tcPr>
            <w:tcW w:w="3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(203,010)</w:t>
            </w:r>
          </w:p>
        </w:tc>
      </w:tr>
      <w:tr>
        <w:trPr>
          <w:trHeight w:val="229"/>
        </w:trPr>
        <w:tc>
          <w:tcPr>
            <w:tcW w:w="64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6,164</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440" w:type="dxa"/>
            <w:vAlign w:val="bottom"/>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(5,364,355)</w:t>
            </w:r>
          </w:p>
        </w:tc>
        <w:tc>
          <w:tcPr>
            <w:tcW w:w="3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(6,356,971)</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3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(44,489)</w:t>
            </w:r>
          </w:p>
        </w:tc>
      </w:tr>
      <w:tr>
        <w:trPr>
          <w:trHeight w:val="20"/>
        </w:trPr>
        <w:tc>
          <w:tcPr>
            <w:tcW w:w="6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(44,489)</w:t>
            </w:r>
          </w:p>
        </w:tc>
      </w:tr>
      <w:tr>
        <w:trPr>
          <w:trHeight w:val="223"/>
        </w:trPr>
        <w:tc>
          <w:tcPr>
            <w:tcW w:w="64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Cash flows from financing activities:</w:t>
            </w:r>
          </w:p>
        </w:tc>
        <w:tc>
          <w:tcPr>
            <w:tcW w:w="13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an ATM offering</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2,674,697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Net proceeds from a sale of common stock and warrant issuance</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2,677,191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Proceeds from contributions to employee stock purchase plan</w:t>
            </w:r>
          </w:p>
        </w:tc>
        <w:tc>
          <w:tcPr>
            <w:tcW w:w="1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65,134</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44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5,417,022</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104,217</w:t>
            </w:r>
          </w:p>
        </w:tc>
        <w:tc>
          <w:tcPr>
            <w:tcW w:w="100" w:type="dxa"/>
            <w:vAlign w:val="bottom"/>
          </w:tcPr>
          <w:p>
            <w:pPr>
              <w:spacing w:after="0"/>
              <w:rPr>
                <w:sz w:val="19"/>
                <w:szCs w:val="19"/>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(6,297,243)</w:t>
            </w: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5"/>
                <w:szCs w:val="15"/>
                <w:color w:val="auto"/>
              </w:rPr>
              <w:t>–</w:t>
            </w:r>
            <w:r>
              <w:rPr>
                <w:rFonts w:ascii="Arial" w:cs="Arial" w:eastAsia="Arial" w:hAnsi="Arial"/>
                <w:sz w:val="18"/>
                <w:szCs w:val="18"/>
                <w:color w:val="auto"/>
              </w:rPr>
              <w:t xml:space="preserve"> beginning</w:t>
            </w:r>
          </w:p>
        </w:tc>
        <w:tc>
          <w:tcPr>
            <w:tcW w:w="1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26,287,293</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49,071,414</w:t>
            </w:r>
          </w:p>
        </w:tc>
        <w:tc>
          <w:tcPr>
            <w:tcW w:w="100" w:type="dxa"/>
            <w:vAlign w:val="bottom"/>
          </w:tcPr>
          <w:p>
            <w:pPr>
              <w:spacing w:after="0"/>
              <w:rPr>
                <w:sz w:val="19"/>
                <w:szCs w:val="19"/>
                <w:color w:val="auto"/>
              </w:rPr>
            </w:pPr>
          </w:p>
        </w:tc>
      </w:tr>
      <w:tr>
        <w:trPr>
          <w:trHeight w:val="263"/>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5"/>
                <w:szCs w:val="15"/>
                <w:color w:val="auto"/>
              </w:rPr>
              <w:t>–</w:t>
            </w:r>
            <w:r>
              <w:rPr>
                <w:rFonts w:ascii="Arial" w:cs="Arial" w:eastAsia="Arial" w:hAnsi="Arial"/>
                <w:sz w:val="18"/>
                <w:szCs w:val="18"/>
                <w:color w:val="auto"/>
              </w:rPr>
              <w:t xml:space="preserve"> ending</w:t>
            </w: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26,339,960</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42,774,171</w:t>
            </w:r>
          </w:p>
        </w:tc>
        <w:tc>
          <w:tcPr>
            <w:tcW w:w="100" w:type="dxa"/>
            <w:vAlign w:val="bottom"/>
            <w:shd w:val="clear" w:color="auto" w:fill="CFF0FC"/>
          </w:tcPr>
          <w:p>
            <w:pPr>
              <w:spacing w:after="0"/>
              <w:rPr>
                <w:sz w:val="22"/>
                <w:szCs w:val="22"/>
                <w:color w:val="auto"/>
              </w:rPr>
            </w:pPr>
          </w:p>
        </w:tc>
      </w:tr>
      <w:tr>
        <w:trPr>
          <w:trHeight w:val="210"/>
        </w:trPr>
        <w:tc>
          <w:tcPr>
            <w:tcW w:w="64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3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issued for RSUs</w:t>
            </w: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r>
      <w:tr>
        <w:trPr>
          <w:trHeight w:val="20"/>
        </w:trPr>
        <w:tc>
          <w:tcPr>
            <w:tcW w:w="64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 1 - Business Organization, Nature of Operations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Energous Corporation (the “Company”) was incorporated in Delaware on October 30, 2012. The Company has developed its WattUp® wireless power technology, consisting of proprietary semiconductor chipsets, software controls, hardware designs and antennas, that enables radio frequency (“RF”) based charging for electronic devices. The WattUp technology has a broad spectrum of capabilities, including near-field wireless charging and at-a-distance wireless charging at various distances. The Company believes its proprietary WattUp technologies are well suited for many applications, including building and home automation, electronic shelf labels, industrial IoT sensors, surface and implanted medical devices, tracking devices, hearables, wearables, consumer electronics and public safety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and Management Plans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three months ended March 31, 2023 and 2022, the Company recorded revenue of $96,676 and $215,961, respectively. During the three months ended March 31, 2023 and 2022, the Company recorded net losses of $6,652,507 and $7,152,718, respectively. Net cash used in operating activities was $5,364,355 and $6,356,971 for the three months ended March 31, 2023 and 2022, respectively. The Company is currently meeting its liquidity requirements through the proceeds of securities offerings that raised net proceeds of $27,043,751 during 2021, $744,787 during 2022 and $5,351,888 during the first quarter of 2023, along with proceeds from contributions to the Company’s employee stock purchase plan (the “ESPP”) and payments received from customers.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2023, the Company had cash and cash equivalents of $26,339,960. The Company expects that cash and cash equivalents as of March 31, 2023, together with anticipated revenues, will be sufficient to fund the Company’s operations through May 2024.</w:t>
      </w:r>
    </w:p>
    <w:p>
      <w:pPr>
        <w:spacing w:after="0" w:line="17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the Company would find acceptable, or at all.</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(the “SEC”).</w:t>
      </w:r>
    </w:p>
    <w:p>
      <w:pPr>
        <w:spacing w:after="0" w:line="7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These unaudited condensed interim financial statements should be read in conjunction with the audited financial statements and notes thereto for the fiscal year ended December 31, 2022 included in the Company's Annual Report on Form 10-K for the fiscal year ended December 31, 2022, filed with the SEC on March 30, 2023. The accounting policies used in preparing these unaudited condensed interim financial statements are consistent with those described in the Company’s December 31, 2022 audited financial statements</w:t>
      </w:r>
      <w:r>
        <w:rPr>
          <w:rFonts w:ascii="Arial" w:cs="Arial" w:eastAsia="Arial" w:hAnsi="Arial"/>
          <w:sz w:val="18"/>
          <w:szCs w:val="18"/>
          <w:i w:val="1"/>
          <w:iCs w:val="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8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Company’s significant estimates and assumptions include the valuation of stock-based compensation instruments, recognition of revenue, inventory valuation, fair value of warrant liabilities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20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spacing w:after="0" w:line="14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5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spacing w:after="0" w:line="1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p>
      <w:pPr>
        <w:spacing w:after="0" w:line="93" w:lineRule="exact"/>
        <w:rPr>
          <w:sz w:val="20"/>
          <w:szCs w:val="20"/>
          <w:color w:val="auto"/>
        </w:rPr>
      </w:pPr>
    </w:p>
    <w:p>
      <w:pPr>
        <w:ind w:left="920" w:right="460" w:hanging="426"/>
        <w:spacing w:after="0" w:line="25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 to which the Company has access at a measurement date.</w:t>
      </w:r>
    </w:p>
    <w:p>
      <w:pPr>
        <w:spacing w:after="0" w:line="1" w:lineRule="exact"/>
        <w:rPr>
          <w:rFonts w:ascii="Arial" w:cs="Arial" w:eastAsia="Arial" w:hAnsi="Arial"/>
          <w:sz w:val="18"/>
          <w:szCs w:val="18"/>
          <w:color w:val="auto"/>
        </w:rPr>
      </w:pPr>
    </w:p>
    <w:p>
      <w:pPr>
        <w:ind w:left="920" w:right="80" w:hanging="426"/>
        <w:spacing w:after="0" w:line="250"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20" w:hanging="426"/>
        <w:spacing w:after="0" w:line="290"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Unobservable inputs for which little or no market data exists and for which the Company must develop its own assumptions regarding the assumptions that market participants would use in pricing the asset or liability, including assumptions regarding risk.</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spacing w:after="0" w:line="11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carrying amounts of the Company’s financial assets and liabilities, such as cash, cash equivalents, prepaid expenses, other current assets, and accounts payable &amp; accrued expenses, are an approximate of their fair values because of the short maturity of these instruments. The Company’s derivative liabilities recognized at fair value on a recurring basis are a level 3 measurement (see Note 8 – Fair Value Measurement).</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Accounting Standards Codification (“ASC”) 606, "Revenue from Contracts with Customers" (“Topic 606”).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the Company recognizes revenue using the following five-step approach:</w:t>
      </w:r>
    </w:p>
    <w:p>
      <w:pPr>
        <w:spacing w:after="0" w:line="131" w:lineRule="exact"/>
        <w:rPr>
          <w:sz w:val="20"/>
          <w:szCs w:val="20"/>
          <w:color w:val="auto"/>
        </w:rPr>
      </w:pPr>
    </w:p>
    <w:p>
      <w:pPr>
        <w:ind w:left="880" w:hanging="4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performance obligations are satisfied.</w:t>
      </w:r>
    </w:p>
    <w:p>
      <w:pPr>
        <w:spacing w:after="0" w:line="18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Company’s revenue consists of its single segment of wireless charging system solutions. The wireless charging system revenue consists of revenue from product development projects and production-level systems. During the three months ended March 31, 2023 and 2022, the Company recognized $96,676 and $215,961, respectively, in revenue.</w:t>
      </w:r>
    </w:p>
    <w:p>
      <w:pPr>
        <w:spacing w:after="0" w:line="14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3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 Company follows ASC 330, </w:t>
      </w:r>
      <w:r>
        <w:rPr>
          <w:rFonts w:ascii="Arial" w:cs="Arial" w:eastAsia="Arial" w:hAnsi="Arial"/>
          <w:sz w:val="18"/>
          <w:szCs w:val="18"/>
          <w:i w:val="1"/>
          <w:iCs w:val="1"/>
          <w:color w:val="auto"/>
        </w:rPr>
        <w:t>Inventory</w:t>
      </w:r>
      <w:r>
        <w:rPr>
          <w:rFonts w:ascii="Arial" w:cs="Arial" w:eastAsia="Arial" w:hAnsi="Arial"/>
          <w:sz w:val="18"/>
          <w:szCs w:val="18"/>
          <w:color w:val="auto"/>
        </w:rPr>
        <w:t xml:space="preserve"> (“Topic 330”) to account for its inventory, which includes finished goods ready for sale, work in process and raw materials, at the lower of cost or net realizable value. Net realizable value is calculated at the end of each reporting period and adjustment, if needed, is made.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8"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Research and development expenses are charged to operations as incurred. For internally developed patents, all patent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$3,078,524 and $3,527,146 for the three months ended March 31, 2023 and 2022,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March 31, 2023, no liability for unrecognized tax benefits was required to be reported. The guidance from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also discusses the classification of related interest and penalties on income taxes. The Company’s policy is to record interest and penalties on uncertain tax positions as a component of income tax expense. No interest or penalties were recorded during the three months ended March 31, 2023 and 2022. The Company files income tax returns with the United States and California governments.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8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12,890,622 and 5,682,499, as outlined in the table below, for the three months ended March 31, 2023 and 2022, respectively, because their inclusion would be anti-dilutive.</w:t>
      </w:r>
    </w:p>
    <w:p>
      <w:pPr>
        <w:spacing w:after="0" w:line="196"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For the Three Months</w:t>
      </w:r>
    </w:p>
    <w:p>
      <w:pPr>
        <w:jc w:val="center"/>
        <w:ind w:left="556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6120" w:type="dxa"/>
            <w:vAlign w:val="bottom"/>
          </w:tcPr>
          <w:p>
            <w:pPr>
              <w:spacing w:after="0"/>
              <w:rPr>
                <w:sz w:val="13"/>
                <w:szCs w:val="13"/>
                <w:color w:val="auto"/>
              </w:rPr>
            </w:pPr>
          </w:p>
        </w:tc>
        <w:tc>
          <w:tcPr>
            <w:tcW w:w="1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8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2"/>
          </w:tcPr>
          <w:p>
            <w:pPr>
              <w:jc w:val="right"/>
              <w:ind w:right="830"/>
              <w:spacing w:after="0" w:line="155" w:lineRule="exact"/>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3"/>
                <w:szCs w:val="13"/>
                <w:color w:val="auto"/>
              </w:rPr>
            </w:pPr>
          </w:p>
        </w:tc>
      </w:tr>
      <w:tr>
        <w:trPr>
          <w:trHeight w:val="223"/>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Warrants issued to investors</w:t>
            </w:r>
          </w:p>
        </w:tc>
        <w:tc>
          <w:tcPr>
            <w:tcW w:w="1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9,916,666</w:t>
            </w:r>
          </w:p>
        </w:tc>
        <w:tc>
          <w:tcPr>
            <w:tcW w:w="360" w:type="dxa"/>
            <w:vAlign w:val="bottom"/>
            <w:tcBorders>
              <w:top w:val="single" w:sz="8" w:color="CFF0FC"/>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520" w:type="dxa"/>
            <w:vAlign w:val="bottom"/>
            <w:tcBorders>
              <w:top w:val="single" w:sz="8" w:color="CFF0FC"/>
            </w:tcBorders>
            <w:shd w:val="clear" w:color="auto" w:fill="CFF0FC"/>
          </w:tcPr>
          <w:p>
            <w:pPr>
              <w:spacing w:after="0"/>
              <w:rPr>
                <w:sz w:val="19"/>
                <w:szCs w:val="19"/>
                <w:color w:val="auto"/>
              </w:rPr>
            </w:pPr>
          </w:p>
        </w:tc>
      </w:tr>
      <w:tr>
        <w:trPr>
          <w:trHeight w:val="229"/>
        </w:trPr>
        <w:tc>
          <w:tcPr>
            <w:tcW w:w="7360" w:type="dxa"/>
            <w:vAlign w:val="bottom"/>
            <w:gridSpan w:val="2"/>
          </w:tcPr>
          <w:p>
            <w:pPr>
              <w:spacing w:after="0"/>
              <w:rPr>
                <w:sz w:val="20"/>
                <w:szCs w:val="20"/>
                <w:color w:val="auto"/>
              </w:rPr>
            </w:pPr>
            <w:r>
              <w:rPr>
                <w:rFonts w:ascii="Arial" w:cs="Arial" w:eastAsia="Arial" w:hAnsi="Arial"/>
                <w:sz w:val="18"/>
                <w:szCs w:val="18"/>
                <w:color w:val="auto"/>
              </w:rPr>
              <w:t>Options to purchase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825,006</w:t>
            </w:r>
          </w:p>
        </w:tc>
        <w:tc>
          <w:tcPr>
            <w:tcW w:w="520" w:type="dxa"/>
            <w:vAlign w:val="bottom"/>
          </w:tcPr>
          <w:p>
            <w:pPr>
              <w:spacing w:after="0"/>
              <w:rPr>
                <w:sz w:val="19"/>
                <w:szCs w:val="19"/>
                <w:color w:val="auto"/>
              </w:rPr>
            </w:pPr>
          </w:p>
        </w:tc>
      </w:tr>
      <w:tr>
        <w:trPr>
          <w:trHeight w:val="23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RSUs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2,673,956</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1,572,704</w:t>
            </w:r>
          </w:p>
        </w:tc>
        <w:tc>
          <w:tcPr>
            <w:tcW w:w="520" w:type="dxa"/>
            <w:vAlign w:val="bottom"/>
            <w:shd w:val="clear" w:color="auto" w:fill="CFF0FC"/>
          </w:tcPr>
          <w:p>
            <w:pPr>
              <w:spacing w:after="0"/>
              <w:rPr>
                <w:sz w:val="19"/>
                <w:szCs w:val="19"/>
                <w:color w:val="auto"/>
              </w:rPr>
            </w:pPr>
          </w:p>
        </w:tc>
      </w:tr>
      <w:tr>
        <w:trPr>
          <w:trHeight w:val="223"/>
        </w:trPr>
        <w:tc>
          <w:tcPr>
            <w:tcW w:w="6120" w:type="dxa"/>
            <w:vAlign w:val="bottom"/>
          </w:tcPr>
          <w:p>
            <w:pPr>
              <w:ind w:left="260"/>
              <w:spacing w:after="0"/>
              <w:rPr>
                <w:sz w:val="20"/>
                <w:szCs w:val="20"/>
                <w:color w:val="auto"/>
              </w:rPr>
            </w:pPr>
            <w:r>
              <w:rPr>
                <w:rFonts w:ascii="Arial" w:cs="Arial" w:eastAsia="Arial" w:hAnsi="Arial"/>
                <w:sz w:val="18"/>
                <w:szCs w:val="18"/>
                <w:color w:val="auto"/>
              </w:rPr>
              <w:t>Total potentially dilutive securities</w:t>
            </w:r>
          </w:p>
        </w:tc>
        <w:tc>
          <w:tcPr>
            <w:tcW w:w="1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12,890,622</w:t>
            </w:r>
          </w:p>
        </w:tc>
        <w:tc>
          <w:tcPr>
            <w:tcW w:w="360" w:type="dxa"/>
            <w:vAlign w:val="bottom"/>
          </w:tcPr>
          <w:p>
            <w:pPr>
              <w:spacing w:after="0"/>
              <w:rPr>
                <w:sz w:val="19"/>
                <w:szCs w:val="19"/>
                <w:color w:val="auto"/>
              </w:rPr>
            </w:pP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5,682,499</w:t>
            </w:r>
          </w:p>
        </w:tc>
        <w:tc>
          <w:tcPr>
            <w:tcW w:w="52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above includes 1,666,666 warrants expiring on March 1, 2024, which have an exercise price of $10.00 and 8,250,000 warrants expiring on March 28, 2029, which have an exercise price of $0.40.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14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4 – Commitments and Contingencies, </w:t>
      </w:r>
      <w:r>
        <w:rPr>
          <w:rFonts w:ascii="Arial" w:cs="Arial" w:eastAsia="Arial" w:hAnsi="Arial"/>
          <w:sz w:val="17"/>
          <w:szCs w:val="17"/>
          <w:i w:val="1"/>
          <w:iCs w:val="1"/>
          <w:color w:val="auto"/>
        </w:rPr>
        <w:t>Operating Leases</w:t>
      </w:r>
      <w:r>
        <w:rPr>
          <w:rFonts w:ascii="Arial" w:cs="Arial" w:eastAsia="Arial" w:hAnsi="Arial"/>
          <w:sz w:val="17"/>
          <w:szCs w:val="17"/>
          <w:color w:val="auto"/>
        </w:rPr>
        <w:t xml:space="preserve"> for further discussion of the Company’s operating leases.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Subsequent Events</w:t>
      </w:r>
    </w:p>
    <w:p>
      <w:pPr>
        <w:spacing w:after="0" w:line="19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evaluates events that have occurred after the balance sheet date of March 31, 2023, through the date which the financial statements are available to be issued.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 Jose Lease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On May 20, 2022, the Company signed a lease amendment to the existing lease for its office space at its corporate headquarters in San Jose, California,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extending the term of the lease for an additional three years. Upon signing the lease amendment, the Company recorded a new ROU lease asset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$2,071,336 and operating lease liability of $2,071,336, using a present value discount rate of 3.0%. Upon expiration of the original lease on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2022, the new monthly lease payment starting October 1, 2022 is $58,903, subject to annual escalations up to a maximum monthly lease payment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$62,490.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Costa Mesa Lease</w:t>
      </w:r>
    </w:p>
    <w:p>
      <w:pPr>
        <w:spacing w:after="0" w:line="25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On September 22, 2021, the Company signed a new lease for office space for its engineers based in Costa Mesa, California. Per the lease, the lease commencement date is October 1, 2021 and the expiration date is September 30, 2023. The Company did not have control of the new office space until October 2021, at which time the Company recorded a new ROU lease asset of $104,563 and operating lease liability of $104,563. The new Costa Mesa lease has an initial monthly lease payment of $4,369 starting October 1, 2021 and is subject to an annual escalation up to a maximum monthly lease payment of $4,522.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 Commitments</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The Company follows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and recognizes the required ROU assets and operating lease liabilities on its balance sheet. The Company anticipates having future total lease payments of $1,858,460 during the period from the second quarter of 2023 to the third quarter of 2025. As of March 31, 2023, the Company has total operating lease ROU assets of $1,778,512, current portion of operating lease liabilities of $702,780 and long-term portion of operating lease liabilities of $1,090,639. The weighted average remaining lease term is 2.5 years as of March 31,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undiscounted cash flows to lease liabilities recognized as of March 31, 2023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155"/>
        </w:trPr>
        <w:tc>
          <w:tcPr>
            <w:tcW w:w="90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3"/>
                <w:szCs w:val="13"/>
                <w:color w:val="auto"/>
              </w:rPr>
            </w:pPr>
          </w:p>
        </w:tc>
      </w:tr>
      <w:tr>
        <w:trPr>
          <w:trHeight w:val="230"/>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562,555</w:t>
            </w:r>
          </w:p>
        </w:tc>
        <w:tc>
          <w:tcPr>
            <w:tcW w:w="100" w:type="dxa"/>
            <w:vAlign w:val="bottom"/>
            <w:shd w:val="clear" w:color="auto" w:fill="CFF0FC"/>
          </w:tcPr>
          <w:p>
            <w:pPr>
              <w:spacing w:after="0"/>
              <w:rPr>
                <w:sz w:val="19"/>
                <w:szCs w:val="19"/>
                <w:color w:val="auto"/>
              </w:rPr>
            </w:pPr>
          </w:p>
        </w:tc>
      </w:tr>
      <w:tr>
        <w:trPr>
          <w:trHeight w:val="229"/>
        </w:trPr>
        <w:tc>
          <w:tcPr>
            <w:tcW w:w="906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733,497</w:t>
            </w:r>
          </w:p>
        </w:tc>
        <w:tc>
          <w:tcPr>
            <w:tcW w:w="100" w:type="dxa"/>
            <w:vAlign w:val="bottom"/>
          </w:tcPr>
          <w:p>
            <w:pPr>
              <w:spacing w:after="0"/>
              <w:rPr>
                <w:sz w:val="19"/>
                <w:szCs w:val="19"/>
                <w:color w:val="auto"/>
              </w:rPr>
            </w:pPr>
          </w:p>
        </w:tc>
      </w:tr>
      <w:tr>
        <w:trPr>
          <w:trHeight w:val="230"/>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562,408</w:t>
            </w:r>
          </w:p>
        </w:tc>
        <w:tc>
          <w:tcPr>
            <w:tcW w:w="100" w:type="dxa"/>
            <w:vAlign w:val="bottom"/>
            <w:shd w:val="clear" w:color="auto" w:fill="CFF0FC"/>
          </w:tcPr>
          <w:p>
            <w:pPr>
              <w:spacing w:after="0"/>
              <w:rPr>
                <w:sz w:val="19"/>
                <w:szCs w:val="19"/>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Total future lease payments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1,858,460</w:t>
            </w:r>
          </w:p>
        </w:tc>
        <w:tc>
          <w:tcPr>
            <w:tcW w:w="100" w:type="dxa"/>
            <w:vAlign w:val="bottom"/>
          </w:tcPr>
          <w:p>
            <w:pPr>
              <w:spacing w:after="0"/>
              <w:rPr>
                <w:sz w:val="19"/>
                <w:szCs w:val="19"/>
                <w:color w:val="auto"/>
              </w:rPr>
            </w:pPr>
          </w:p>
        </w:tc>
      </w:tr>
      <w:tr>
        <w:trPr>
          <w:trHeight w:val="230"/>
        </w:trPr>
        <w:tc>
          <w:tcPr>
            <w:tcW w:w="9060" w:type="dxa"/>
            <w:vAlign w:val="bottom"/>
            <w:shd w:val="clear" w:color="auto" w:fill="CFF0FC"/>
          </w:tcPr>
          <w:p>
            <w:pPr>
              <w:spacing w:after="0"/>
              <w:rPr>
                <w:sz w:val="20"/>
                <w:szCs w:val="20"/>
                <w:color w:val="auto"/>
              </w:rPr>
            </w:pPr>
            <w:r>
              <w:rPr>
                <w:rFonts w:ascii="Arial" w:cs="Arial" w:eastAsia="Arial" w:hAnsi="Arial"/>
                <w:sz w:val="18"/>
                <w:szCs w:val="18"/>
                <w:color w:val="auto"/>
              </w:rPr>
              <w:t>Present value discount (2.9% weighted average)</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(65,041)</w:t>
            </w: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1,793,419</w:t>
            </w:r>
          </w:p>
        </w:tc>
        <w:tc>
          <w:tcPr>
            <w:tcW w:w="10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Hosted Design Software Agreement</w:t>
      </w:r>
    </w:p>
    <w:p>
      <w:pPr>
        <w:spacing w:after="0" w:line="1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 xml:space="preserve">In June 2021, the Company entered into an electronic design automation software in a hosted environment license agreement with a term of </w:t>
      </w:r>
      <w:r>
        <w:rPr>
          <w:rFonts w:ascii="Arial" w:cs="Arial" w:eastAsia="Arial" w:hAnsi="Arial"/>
          <w:sz w:val="17"/>
          <w:szCs w:val="17"/>
          <w:color w:val="222222"/>
        </w:rPr>
        <w:t>three-years</w:t>
      </w:r>
      <w:r>
        <w:rPr>
          <w:rFonts w:ascii="Arial" w:cs="Arial" w:eastAsia="Arial" w:hAnsi="Arial"/>
          <w:sz w:val="17"/>
          <w:szCs w:val="17"/>
          <w:color w:val="auto"/>
        </w:rPr>
        <w:t xml:space="preserve"> under which the Company is required to remit quarterly payments of approximately </w:t>
      </w:r>
      <w:r>
        <w:rPr>
          <w:rFonts w:ascii="Arial" w:cs="Arial" w:eastAsia="Arial" w:hAnsi="Arial"/>
          <w:sz w:val="17"/>
          <w:szCs w:val="17"/>
          <w:color w:val="222222"/>
        </w:rPr>
        <w:t>$233,000 through the second quarter of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Litigations, Claims, and Assessments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MBO Bonus Plan</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18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2023 and 2022, the Company recorded $62,001 and $125,468 in expense, respectively, under the Bonus Plan.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2022, $688,364 was accrued and unpaid under the Bonus Plan, of which $560,533 was paid during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2023. The remaining $109,452 from 2022 is expected to be paid during the second quarter of 2023. As of March 31, 2023, the Company had accrued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$171,453 under the Bonus Plan, including the $109,452 remaining accrual from 2022 and the additional $62,001 accrued during the first quarter of 2023,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is expected to be paid between the second quarter of 2023 and the first quarter of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15, 2018, the Compensation Committee approved a form of Severance and Change in Control Agreement (“Severance Agreement”) that the Company may enter into with executive officers (each, an “Executive”).</w:t>
      </w:r>
    </w:p>
    <w:p>
      <w:pPr>
        <w:spacing w:after="0" w:line="10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Under the Severance Agreement, if an Executive is terminated in a qualifying change in control termination, the Company agrees to pay the Executive six to 12 months of that Executive’s monthly base salary. If an Executive elects continued coverage under the Consolidated Omnibus Budget Reconciliation Act of 1985, as amended (“COBRA”) the Company will pay the full amount of the Executive’s premiums under the Company’s health, dental and vision plans, including coverage for the Executive’s eligible dependents, for the six to 12 month period following the Executive’s termination.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Employee Agreement – Cesar Johnston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December 9, 2021, the Company announced that Cesar Johnston had been appointed as the Company’s Chief Executive Officer. In connection with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Johnston’s appointment as Chief Executive Officer, the Company and Mr. Johnston executed an offer letter dated as of December 6, 2021.</w:t>
      </w:r>
    </w:p>
    <w:p>
      <w:pPr>
        <w:spacing w:after="0" w:line="13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Under the terms of his offer letter, Mr. Johnston will receive an annual base salary of $400,000 per year. Beginning in year 2022, he is eligible to receive a discretionary annual bonus of up to 100% of his base salary, at the recommendation of the Company’s Compensation Committee, with the approval of the Company’s Board. In addition, as an inducement to accept his appointment as Chief Executive Officer, Mr. Johnston received, subject to continued employment, (a) a special one-time sign-on bonus in the amount of $120,000, payable in two equal installments of $60,000 each on the first payroll date in 2022 and the first payroll date after December 6, 2022, (b) a grant of 150,000 RSUs to acquire shares of the Company’s common stock, one third of which vested on December 6, 2022 and the remaining two thirds of which vest in eight equal installments of 12,500 each on each quarterly anniversary thereafter and (c) a grant of an option to purchase 300,000 shares of the Company’s common stock at an exercise price equal to the fair market value of the Company’s common stock on the grant date, half of which shall vest on December 31, 2023, a quarter of which shall vest on December 31, 2024 and the remainder of which shall vest on December 31, 2025.</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Also pursuant to the terms of his offer letter, Mr. Johnston is eligible for (a) an additional equity award in the amount of 287,000 PSUs to acquire shares of the Company’s common stock, to vest at various amounts to be agreed upon each year by the Board over a three year period commencing January 1, 2022 and ending December 31, 2024, upon the achievement of performance criteria to be mutually established by Mr. Johnston and the Compensation Committee, and (b) an additional equity award of up to 25,000 PSUs per calendar year for each of 2022, 2023 and 2024, based on outperformance of agreed upon goals per calendar year, as determined by the Compensation Committee with approval of the Board. On July 20, 2022, the Board approved, by unanimous written consent, the grant to Mr. Johnston of up to 287,000 PSUs pursuant to the terms of Mr. Johnston’s offer letter. The 287,000 PSUs that have been approved shall vest as follows: (a) up to 187,000 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and (b) up to an additional 50,000 PSU shares shall vest on each of December 31, 2023 and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 As of March 31, 2023, the Board had not yet approved the performance criteria applicable to the up to additional 50,000 PSU shares that will vest on each of December 31, 2023 and 2024; therefore, these PSUs have not been considered granted.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connection with Mr. Johnston’s appointment as Chief Executive Officer, the Company and Mr. Johnston additionally entered into an amended and restated severance and change in control agreement, dated as of December 6, 2021. In the event of a termination that is not a change-in-control qualifying termination, Mr. Johnston is entitled to (a) a one-time lump sum payment by the Company in an amount equal to 18 months of his monthly base salary plus an amount equal to 100% of his target bonus plus, if agreed by the Compensation Committee, a discretionary bonus for the year in which the termination occurs, (b) any outstanding unvested equity awards held by Mr. Johnston that would vest in the next 18 months of continuing employment (other than any equity awards that vest upon satisfaction of performance criteria) will accelerate and become vested and (c) if Mr. Johnston timely elects continued coverage under COBRA, the Company or its successor will pay the full amount of Mr. Johnston’s COBRA premiums on his behalf for 18 months.</w:t>
      </w:r>
    </w:p>
    <w:p>
      <w:pPr>
        <w:spacing w:after="0" w:line="219"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Mr. Johnston’s agreement additionally provides that, in the event of a change-in-control qualifying termination, Mr. Johnston is entitled to (a) a one-time lump sum payment by the Company in an amount equal to 18 months of his monthly base salary plus an amount equal to 150% of his target bonus plus a prorated bonus for the year in which the termination occurs, (b) any outstanding unvested equity awards held by Mr. Johnston (including any equity awards that vest upon satisfaction of performance criteria) will accelerate in full and become vested and (c) if Mr. Johnston timely elects continued coverage under COBRA, the Company or its successor will pay the full amount of Mr. Johnston’s COBRA premiums on his behalf for 18 months.</w:t>
      </w:r>
    </w:p>
    <w:p>
      <w:pPr>
        <w:spacing w:after="0" w:line="165" w:lineRule="exact"/>
        <w:rPr>
          <w:sz w:val="20"/>
          <w:szCs w:val="20"/>
          <w:color w:val="auto"/>
        </w:rPr>
      </w:pPr>
    </w:p>
    <w:p>
      <w:pPr>
        <w:ind w:right="1980"/>
        <w:spacing w:after="0" w:line="453" w:lineRule="auto"/>
        <w:rPr>
          <w:sz w:val="20"/>
          <w:szCs w:val="20"/>
          <w:color w:val="auto"/>
        </w:rPr>
      </w:pPr>
      <w:r>
        <w:rPr>
          <w:rFonts w:ascii="Arial" w:cs="Arial" w:eastAsia="Arial" w:hAnsi="Arial"/>
          <w:sz w:val="18"/>
          <w:szCs w:val="18"/>
          <w:color w:val="auto"/>
        </w:rPr>
        <w:t xml:space="preserve">Mr. Johnston is also eligible to receive all customary and usual benefits generally available to senior executives of the Company. </w:t>
      </w:r>
      <w:r>
        <w:rPr>
          <w:rFonts w:ascii="Arial" w:cs="Arial" w:eastAsia="Arial" w:hAnsi="Arial"/>
          <w:sz w:val="18"/>
          <w:szCs w:val="18"/>
          <w:b w:val="1"/>
          <w:bCs w:val="1"/>
          <w:i w:val="1"/>
          <w:iCs w:val="1"/>
          <w:color w:val="auto"/>
        </w:rPr>
        <w:t>Executive Transition Agreement – Stephen Rizzone</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3, 2015, the Company entered into an Amended and Restated Executive Employment Agreement with Stephen R. Rizzone, the Company’s former President and Chief Executive Officer (“Employment Agreement”).</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Employment Agreement effective as of January 1, 2015, had an initial term of four years and automatically renewed each year after the initial term. The Employment Agreement provided for an annual base salary of $365,000, and Mr. Rizzone was eligible to receive quarterly cash bonuses from the MBO Bonus Plan with a total target amount equal to 100% of his base salary based upon achievement of performance-based objectives established by the Board.</w:t>
      </w:r>
    </w:p>
    <w:p>
      <w:pPr>
        <w:spacing w:after="0" w:line="21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July 9, 2021, the Company announced that Stephen R. Rizzone had retired from his position as the Company’s President and Chief Executive Officer and as a member of the Board.</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connection with Mr. Rizzone’s retirement, the Company and Mr. Rizzone entered into an Executive Transition Agreement (the “Separation Agreement”), providing for continued employment through August 31, 2021. Upon his termination of employment, the Separation Agreement provides severance payments and benefits to Mr. Rizzone consistent with the terms of his existing employment agreement with the Company, including without limitation: compensation-based payments of $1,460,000 in the aggregate, payable under a certain payment scheme as set forth therein, an additional lump sum cash payment of $2,000,000, a pro-rated bonus payment for the two months of employment during the current quarterly bonus period payable at the same time bonus payments are made to other executives of the Company, settlement of deferred vested RSUs and an extension of the exercise periods of all stock options held by Mr. Rizzone until the one year anniversary of his termination date, and additional benefits related to Mr. Rizzone’s medical insurance. In addition, the Company agreed to pay-off all amounts owed under a lease agreement relating to a company car and that Mr. Rizzone would receive the title to the vehicle. All compensation under the Separation Agreement has been or will be subject to applicable withholding.</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March 31, 2023, the Company had unpaid accrued severance expense of $249,610 pertaining to Mr. Rizzone’s Separation Agreement which is expected to be paid through August 31,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Transition Agreement – Neeraj Sahejpal</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April 29, 2022, the Company announced the departure of Neeraj Sahejpal, former Senior Vice President of Marketing and Business Development, effective April 30, 2022. Pursuant to the terms of Mr. Sahejpal’s severance and change of control agreement with the Company, Mr. Sahejpal received payments and benefits including compensation equal to twelve months of Mr. Sahejpal’s then-current salary of $261,250, twelve months of maximum potential bonus of $261,250, and twelve months of COBRA reimbursements. In addition, all RSUs held by Mr. Sahejpal that were due to vest in the twelve months after his departure, totaling RSUs covering 85,943 shares, were accelerated.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 Commitments and Contingencies,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 Company had no unpaid accrued severance expense pertaining to Mr. Sahejpal’s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Alliance Agreement</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November 2016, the Company and Dialog Semiconductor plc (“Dialog”), a related party (see Note 7—Related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In addition, both parties agreed on a revenue sharing arrangement and will collaborate on the commercialization of Licensed Products based on a mutually-agreed upon plan. Each party will retain all of its intellectual property.</w:t>
      </w:r>
    </w:p>
    <w:p>
      <w:pPr>
        <w:spacing w:after="0" w:line="19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Alliance Agreement has an initial term of seven years, with automatic renewal annually thereafter unless terminated by either party upon 180 days’ prior written notice. The Company may terminate the Alliance Agreement at any time after the third anniversary of the Alliance Agreement upon 180 days’ prior written notice to Dialog, or if Dialog breaches certain exclusivity obligations. Dialog may terminate the Alliance Agreement if sales of Licensed Products do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 to terminate the requirement.</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20, 2021, the Company was notified by Dialog, recently acquired by Renesas Electronics Corporation, that it was terminating the Alliance Agreement between the Company and Dialog.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 (see Note 9 – Related Party Transactions for expenses incurred by the Company from Renesas Electronics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9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September 15, 2020, the Company filed a shelf registration statement on Form S-3 with the SEC, which became effective on September 24, 2020, and contains two prospectuses: a base prospectus, which covers the offering, issuance and sale by the Company of up to $75,000,000 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$40,000,000 of its common stock that may be issued and sold under the At Market Issuance Sales Agreement, as amended, between the Company, B. Riley Securities, Inc., Roth Capital Partners LLC and Ladenburg Thalmann &amp; Co. Inc. (the “ATM Program”). The $40,000,000 of common stock to be offered, issued and sold under the ATM Program is included in the $75,000,000 of securities that may be offered, issued and sold by the Company under the base prospectus. Pursuant to this shelf registration statement, the Company sold shares which raised net proceeds of $38,832,711 (net of $1,167,289 in issuance costs) during the third and fourth quarters of 2020 under the ATM Program.</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 Stockholders’ Equity, continued</w:t>
      </w:r>
    </w:p>
    <w:p>
      <w:pPr>
        <w:spacing w:after="0" w:line="18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October 4, 2021, the Company filed a prospectus supplement covering the offering, issuance and sale of up to an additional $35,000,000 of shares of the Company’s common stock pursuant to the ATM Program. The Company raised net proceeds of $27,043,751 (net of $868,122 in issuance costs), during 2021 under the ATM Program. During 2022, the Company raised an additional $744,787 (net of $73,403 in issuance costs) under the ATM Program. During the first quarter of 2023, the Company raised $2,674,697 (net of $68,637 in issuance costs) under the ATM Program. As of March 31, 2023, the Company has $3,526,605 remaining on this shelf registration statement.</w:t>
      </w:r>
    </w:p>
    <w:p>
      <w:pPr>
        <w:spacing w:after="0" w:line="14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On November 15, 2021, the Company filed a shelf registration statement on Form S-3 with the SEC, which became effective on December 16, 2021. This shelf registration statement allows the Company to sell, from time to time, any combination of debt or equity securities described in the registration statement up to aggregate proceeds of $100,000,000. Pursuant to this registration statement, on March 28, 2023, the Company completed an underwritten offering pursuant to which it issued and sold an aggregate of (i) 8,250,000 shares of its common stock (the “Shares”) and (ii) warrants to purchase up to 8,250,000 shares of its common stock (the “2023 Warrants”), for net proceeds of $2,677,191, after deducting underwriting discounts, commission and expenses payable by the Company. The 2023 Warrants were immediately exercisable upon issuance and have a term of six years and an exercise price of $0.40. The Company allocated the proceeds received first to the 2023 Warrants based on the fair value of the 2023 Warrants as determined at initial measurement, with the remaining proceeds allocated to the Shares (see Note 7 – Warrant Liability and Note 8 – Fair Value Measurements).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Outstanding</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Equity Incentive Plan</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Effective on June 16, 2021, the Company’s stockholders approved the amendment and restatement of the 2013 Equity Incentive Plan to increase the number of shares reserved for issuance thereunder by 1,500,000 shares, bringing to 8,785,967 the total number of shares approved for issuance under that plan.</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2023, 1,248,896 shares of common stock remain eligible to be issued through equity-based instruments under the 2013 Equity Incentive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Non-Employee Equity Compensation Plan</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2014 Non-Employee Equity Compensation Plan to increase the number of shares reserved for issuance through equity-based instruments thereunder by 800,000 shares, bringing to 1,650,000 the total number of shares approved for issuance under that plan.</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March 31, 2023, 546,238 shares of common stock remain eligible to be issued through equity-based instruments under the 2014 Non-Employee Equity Compensation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Performance Share Unit Plan</w:t>
      </w:r>
    </w:p>
    <w:p>
      <w:pPr>
        <w:spacing w:after="0" w:line="19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Effective on June 16, 2021, the Company’s stockholders approved the amendment and restatement of the 2015 Performance Share Unit Plan to increase the number of shares reserved for issuance through equity-based instruments thereunder by 1,700,000 shares, bringing to 5,110,104 the total number of shares approved for issuance under that plan.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2023, 2,275,438 shares of common stock remain eligible to be issued through equity-based instruments under the 2015 Performance Share Unit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Equity Inducement Plan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December 28, 2017, the Board approved the 2017 Equity Inducement Plan. Under the 2017 Equity Inducement Plan, the Board reserved 600,000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21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July 20, 2022, the Board increased the number of shares of common stock reserved and available for issuance under the 2017 Equity Inducement Plan by 2,000,000 shares. As of March 31, 2023, 1,041,170 shares of common stock remain available to be issued through equity-based instruments under the 2017 Equity Inducement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April 2015, the Company’s Board approved the ESPP, under which 600,000 shares of common stock have been reserved for purchase by the Company’s employees, subject to the approval by the Company’s stockholders. On May 21, 2015, the Company’s stockholders approved the ESPP. Effective on June 16, 2021, the Company’s stockholders approved the amendment and restatement of the ESPP to increase the number of shares reserved for issuance through equity-based instruments thereunder by 700,000 shares, bring to 1,550,000 the total number of shares approved for issuance under that plan. Under the ESPP, employees may designate an amount not less than 1% but not more than 10% of their annual compensation for the purchase of Company shares. No more than 7,500 shares may be purchased by an employee under the ESPP during an offering period.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w:t>
      </w:r>
    </w:p>
    <w:p>
      <w:pPr>
        <w:spacing w:after="0" w:line="1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March 31, 2023, 201,619 shares of common stock remain eligible to be issued under the ESPP. Employees contributed $65,134 through payroll withholdings to the ESPP as of March 31, 2023 for the current offering period which will end on June 30, 2023 with shares deemed delivered on that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February 2022, the Board granted our Chief Executive Officer 300,000 stock options under the 2013 Equity Incentive Plan at an exercise price of $1.27 per share with half of the options vesting on the second anniversary of the vesting start date and a quarter of the options vesting on each of the two following anniversaries.</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estimated the fair value of stock options granted during the second quarter of 2022 using the Black-Scholes option pricing model. No stock options were granted during the three months ended March 31, 2023. The fair values of stock options granted during the second quarter of 2022 were estimated using the following assumptions:</w:t>
      </w:r>
    </w:p>
    <w:p>
      <w:pPr>
        <w:spacing w:after="0" w:line="20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7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 2022</w:t>
            </w: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340" w:type="dxa"/>
            <w:vAlign w:val="bottom"/>
            <w:tcBorders>
              <w:top w:val="single" w:sz="8" w:color="CFF0FC"/>
            </w:tcBorders>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Dividend yield</w:t>
            </w:r>
          </w:p>
        </w:tc>
        <w:tc>
          <w:tcPr>
            <w:tcW w:w="16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w:t>
            </w: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9"/>
                <w:szCs w:val="19"/>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r>
      <w:tr>
        <w:trPr>
          <w:trHeight w:val="229"/>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5.6 years</w:t>
            </w: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three months ended March 31,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9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 In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1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January 1, 2023</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300,262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Exercisable at January 1, 2023</w:t>
            </w: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Exercisable at March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2023, the unamortized fair value of options was $212,594. The unamortized amount will be expensed over a weighted average period of 2.4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PSUs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PSUs are grants that vest upon the achievement of certain performance goals. The goals are commonly related to the Company’s revenue and achievement of sales and marketing goals.</w:t>
      </w:r>
    </w:p>
    <w:p>
      <w:pPr>
        <w:spacing w:after="0" w:line="19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July 20, 2022, the Board granted the Company’s Chief Executive Officer, Cesar Johnston, up to 287,000 PSUs under the Company’s 2015 Performance Share Unit Plan pursuant to the terms of Mr. Johnston’s offer letter with the Company (See Note 4 – Commitments and Contingencies). The up to 287,000 PSUs that have been approved shall vest as follows: (a) up to 187,000 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and (b) up to an additional 50,000 PSU shares shall vest on each of December 31, 2023 and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 On December 31, 2022, 135,575 PSUs were achieved, vested and deemed delivered on that date. As of March 31, 2023, the performance criteria for an additional up to 100,000 PSUs had not been approved by the Board.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 was no PSU activity for the three months ended March 31, 2023 and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months ended March 31, 2023, the Compensation Committee granted various employees RSUs covering 48,750 shares of common stock under the 2013 Equity Incentive Plan. The awards vest over four years.</w:t>
      </w:r>
    </w:p>
    <w:p>
      <w:pPr>
        <w:spacing w:after="0" w:line="13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During the three months ended March 31, 2023, the Compensation Committee granted various non-employees RSUs covering 124,452 shares of common stock under the 2014 Non-Employee Equity Compensation Plan. The awards vest over terms ranging from one to four years.</w:t>
      </w:r>
    </w:p>
    <w:p>
      <w:pPr>
        <w:spacing w:after="0" w:line="1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March 31, 2023, the Compensation Committee granted various employees RSUs covering 535,000 shares of common stock under the 2017 Equity Inducement Plan. The awards vest over four years.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5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of March 31, 2023, the unamortized fair value of the RSUs was $2,469,552. The unamortized amount will be expensed over a weighted average period of 2.0 years. A summary of the activity related to RSUs for the three months ended March 31, 2023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January 1, 2023</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2,165,132</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RSUs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708,202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RSUs forfeited</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(12,500)</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RSUs vested</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(186,878)</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2023</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2,673,956</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current offering period under the ESPP started on January 1, 2023 and will conclude on June 30, 2023. During the year ended December 31, 2022, there were two offering periods. The first offering period began on January 1, 2022 and concluded on June 30, 2022. The second offering period began on July 1, 2022 and concluded on December 31, 2022.</w:t>
      </w:r>
    </w:p>
    <w:p>
      <w:pPr>
        <w:spacing w:after="0" w:line="1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weighted-average grant-date fair value of the purchase option for each designated share purchased under the ESPP was approximately $0.27 and $0.40 for the three months ended March 31, 2023 and 2022,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compensation expense for the ESPP of $24,740 and $40,973 for the three months ended March 31, 2023 and 2022, respectively.</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estimated the fair value of ESPP purchase options granted during the three months ended March 31, 2023 and 2022 using the Black-Scholes option pricing model. The fair values of ESPP purchase options granted were estimated using the following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6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Stock price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0.836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Dividend yield</w:t>
            </w:r>
          </w:p>
        </w:tc>
        <w:tc>
          <w:tcPr>
            <w:tcW w:w="3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 months</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months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total stock-based compensation costs recognized for the three months ended March 31, 2023 and 2022:</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 March 31,</w:t>
            </w:r>
          </w:p>
        </w:tc>
        <w:tc>
          <w:tcPr>
            <w:tcW w:w="14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r>
      <w:tr>
        <w:trPr>
          <w:trHeight w:val="155"/>
        </w:trPr>
        <w:tc>
          <w:tcPr>
            <w:tcW w:w="56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954"/>
              <w:spacing w:after="0" w:line="155"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CFF0FC"/>
            </w:tcBorders>
          </w:tcPr>
          <w:p>
            <w:pPr>
              <w:spacing w:after="0"/>
              <w:rPr>
                <w:sz w:val="13"/>
                <w:szCs w:val="13"/>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26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21,095</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10,313</w:t>
            </w:r>
          </w:p>
        </w:tc>
        <w:tc>
          <w:tcPr>
            <w:tcW w:w="540" w:type="dxa"/>
            <w:vAlign w:val="bottom"/>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RSUs</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476,242</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745,620</w:t>
            </w:r>
          </w:p>
        </w:tc>
        <w:tc>
          <w:tcPr>
            <w:tcW w:w="54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2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24,740</w:t>
            </w:r>
          </w:p>
        </w:tc>
        <w:tc>
          <w:tcPr>
            <w:tcW w:w="3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40,973</w:t>
            </w:r>
          </w:p>
        </w:tc>
        <w:tc>
          <w:tcPr>
            <w:tcW w:w="540" w:type="dxa"/>
            <w:vAlign w:val="bottom"/>
            <w:shd w:val="clear" w:color="auto" w:fill="CFF0FC"/>
          </w:tcPr>
          <w:p>
            <w:pPr>
              <w:spacing w:after="0"/>
              <w:rPr>
                <w:sz w:val="19"/>
                <w:szCs w:val="19"/>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6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522,077</w:t>
            </w:r>
          </w:p>
        </w:tc>
        <w:tc>
          <w:tcPr>
            <w:tcW w:w="38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796,906</w:t>
            </w:r>
          </w:p>
        </w:tc>
        <w:tc>
          <w:tcPr>
            <w:tcW w:w="54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 Stock-Based Compensation, continued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stock-based compensation was reflected within the statements of operations as: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 March 31,</w:t>
            </w:r>
          </w:p>
        </w:tc>
        <w:tc>
          <w:tcPr>
            <w:tcW w:w="14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56"/>
        </w:trPr>
        <w:tc>
          <w:tcPr>
            <w:tcW w:w="5700" w:type="dxa"/>
            <w:vAlign w:val="bottom"/>
          </w:tcPr>
          <w:p>
            <w:pPr>
              <w:spacing w:after="0"/>
              <w:rPr>
                <w:sz w:val="13"/>
                <w:szCs w:val="13"/>
                <w:color w:val="auto"/>
              </w:rPr>
            </w:pPr>
          </w:p>
        </w:tc>
        <w:tc>
          <w:tcPr>
            <w:tcW w:w="144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954"/>
              <w:spacing w:after="0" w:line="155" w:lineRule="exact"/>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3"/>
                <w:szCs w:val="13"/>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FF0FC"/>
          </w:tcPr>
          <w:p>
            <w:pPr>
              <w:jc w:val="right"/>
              <w:ind w:right="125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208,731</w:t>
            </w:r>
          </w:p>
        </w:tc>
        <w:tc>
          <w:tcPr>
            <w:tcW w:w="1300" w:type="dxa"/>
            <w:vAlign w:val="bottom"/>
            <w:gridSpan w:val="2"/>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353,043</w:t>
            </w:r>
          </w:p>
        </w:tc>
        <w:tc>
          <w:tcPr>
            <w:tcW w:w="440" w:type="dxa"/>
            <w:vAlign w:val="bottom"/>
            <w:shd w:val="clear" w:color="auto" w:fill="CFF0FC"/>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104,903</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180,377</w:t>
            </w:r>
          </w:p>
        </w:tc>
        <w:tc>
          <w:tcPr>
            <w:tcW w:w="440" w:type="dxa"/>
            <w:vAlign w:val="bottom"/>
          </w:tcPr>
          <w:p>
            <w:pPr>
              <w:spacing w:after="0"/>
              <w:rPr>
                <w:sz w:val="19"/>
                <w:szCs w:val="19"/>
                <w:color w:val="auto"/>
              </w:rPr>
            </w:pPr>
          </w:p>
        </w:tc>
      </w:tr>
      <w:tr>
        <w:trPr>
          <w:trHeight w:val="229"/>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208,443</w:t>
            </w:r>
          </w:p>
        </w:tc>
        <w:tc>
          <w:tcPr>
            <w:tcW w:w="3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263,486</w:t>
            </w:r>
          </w:p>
        </w:tc>
        <w:tc>
          <w:tcPr>
            <w:tcW w:w="440" w:type="dxa"/>
            <w:vAlign w:val="bottom"/>
            <w:tcBorders>
              <w:bottom w:val="single" w:sz="8" w:color="CFF0FC"/>
            </w:tcBorders>
            <w:shd w:val="clear" w:color="auto" w:fill="CFF0FC"/>
          </w:tcPr>
          <w:p>
            <w:pPr>
              <w:spacing w:after="0"/>
              <w:rPr>
                <w:sz w:val="19"/>
                <w:szCs w:val="19"/>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jc w:val="right"/>
              <w:ind w:right="125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522,077</w:t>
            </w:r>
          </w:p>
        </w:tc>
        <w:tc>
          <w:tcPr>
            <w:tcW w:w="13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796,906</w:t>
            </w:r>
          </w:p>
        </w:tc>
        <w:tc>
          <w:tcPr>
            <w:tcW w:w="4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Warrant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Warrants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March 2023, the Company issued 8,250,000 warrants to purchase up to 8,250,000 shares of its common stock. The 2023 Warrants have a six-year term and were exercisable upon issuance on March 28, 2023. Each 2023 Warrant is exercisable for one share of the Company’s common stock at a price of $0.40 per share (“Exercise Price”), subject to adjustment in certain circumstances including in the event of stock dividends and splits, or a recapitalization, merger, consolidation, tender offer, reorganization, or other change in control of the Company. 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the Company issues additional shares of common stock or equity-linked securities for a consideration per share less than the 2023 Warrants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of the 2023 Warrants,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$3,135,000. As of March 31, 2023, all 2023 Warrants were outstanding.</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as of March 31, 2023 and December 31, 2022 and indicate the fair value hierarchy of the valuation inputs utilized to determine such fair value:</w:t>
      </w:r>
    </w:p>
    <w:p>
      <w:pPr>
        <w:spacing w:after="0" w:line="207"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2"/>
              </w:rPr>
              <w:t>Balance as of March 31, 2023</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23"/>
        </w:trPr>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36"/>
        </w:trPr>
        <w:tc>
          <w:tcPr>
            <w:tcW w:w="2800" w:type="dxa"/>
            <w:vAlign w:val="bottom"/>
          </w:tcPr>
          <w:p>
            <w:pPr>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26,339,960</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26,339,960</w:t>
            </w:r>
          </w:p>
        </w:tc>
        <w:tc>
          <w:tcPr>
            <w:tcW w:w="60" w:type="dxa"/>
            <w:vAlign w:val="bottom"/>
            <w:shd w:val="clear" w:color="auto" w:fill="CFF0FC"/>
          </w:tcPr>
          <w:p>
            <w:pPr>
              <w:spacing w:after="0"/>
              <w:rPr>
                <w:sz w:val="19"/>
                <w:szCs w:val="19"/>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3,135,000</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3,135,000</w:t>
            </w:r>
          </w:p>
        </w:tc>
        <w:tc>
          <w:tcPr>
            <w:tcW w:w="6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88"/>
              </w:rPr>
              <w:t>Balance as of December 31, 2022</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23"/>
        </w:trPr>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26,287,293</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26,287,293</w:t>
            </w:r>
          </w:p>
        </w:tc>
        <w:tc>
          <w:tcPr>
            <w:tcW w:w="60" w:type="dxa"/>
            <w:vAlign w:val="bottom"/>
            <w:shd w:val="clear" w:color="auto" w:fill="CFF0FC"/>
          </w:tcPr>
          <w:p>
            <w:pPr>
              <w:spacing w:after="0"/>
              <w:rPr>
                <w:sz w:val="21"/>
                <w:szCs w:val="21"/>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Level 1, Level 2, or Level 3 categories during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Warrants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utilizes a Monte Carlo simulation model for the 2023 Warrants at each reporting period, with changes in fair value recognized in the statements of operations. The estimated fair value of the 2023 Warrant liability is determined using Level 3 inputs. Inherent in a Monte Carlo simulation model are assumptions related to expected share-price volatility, expected life, risk-free interest rate, and dividend yield.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key inputs into the Monte Carlo simulation model for the 2023 Warrants are as follows:</w:t>
      </w:r>
    </w:p>
    <w:p>
      <w:pPr>
        <w:spacing w:after="0" w:line="262" w:lineRule="exact"/>
        <w:rPr>
          <w:sz w:val="20"/>
          <w:szCs w:val="20"/>
          <w:color w:val="auto"/>
        </w:rPr>
      </w:pPr>
    </w:p>
    <w:tbl>
      <w:tblPr>
        <w:tblLayout w:type="fixed"/>
        <w:tblInd w:w="29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At March 31, 2023</w:t>
            </w: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 price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Exercise price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9"/>
                <w:szCs w:val="19"/>
                <w:color w:val="auto"/>
              </w:rPr>
            </w:pPr>
          </w:p>
        </w:tc>
      </w:tr>
      <w:tr>
        <w:trPr>
          <w:trHeight w:val="230"/>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Term (in years)</w:t>
            </w:r>
          </w:p>
        </w:tc>
        <w:tc>
          <w:tcPr>
            <w:tcW w:w="28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r>
      <w:tr>
        <w:trPr>
          <w:trHeight w:val="229"/>
        </w:trPr>
        <w:tc>
          <w:tcPr>
            <w:tcW w:w="2720" w:type="dxa"/>
            <w:vAlign w:val="bottom"/>
          </w:tcPr>
          <w:p>
            <w:pPr>
              <w:spacing w:after="0"/>
              <w:rPr>
                <w:sz w:val="20"/>
                <w:szCs w:val="20"/>
                <w:color w:val="auto"/>
              </w:rPr>
            </w:pPr>
            <w:r>
              <w:rPr>
                <w:rFonts w:ascii="Arial" w:cs="Arial" w:eastAsia="Arial" w:hAnsi="Arial"/>
                <w:sz w:val="18"/>
                <w:szCs w:val="18"/>
                <w:color w:val="auto"/>
              </w:rPr>
              <w:t>Volatility</w:t>
            </w:r>
          </w:p>
        </w:tc>
        <w:tc>
          <w:tcPr>
            <w:tcW w:w="280" w:type="dxa"/>
            <w:vAlign w:val="bottom"/>
          </w:tcPr>
          <w:p>
            <w:pPr>
              <w:spacing w:after="0"/>
              <w:rPr>
                <w:sz w:val="19"/>
                <w:szCs w:val="19"/>
                <w:color w:val="auto"/>
              </w:rPr>
            </w:pP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r>
      <w:tr>
        <w:trPr>
          <w:trHeight w:val="230"/>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Risk-free rate</w:t>
            </w:r>
          </w:p>
        </w:tc>
        <w:tc>
          <w:tcPr>
            <w:tcW w:w="280" w:type="dxa"/>
            <w:vAlign w:val="bottom"/>
            <w:shd w:val="clear" w:color="auto" w:fill="CFF0FC"/>
          </w:tcPr>
          <w:p>
            <w:pPr>
              <w:spacing w:after="0"/>
              <w:rPr>
                <w:sz w:val="19"/>
                <w:szCs w:val="19"/>
                <w:color w:val="auto"/>
              </w:rPr>
            </w:pPr>
          </w:p>
        </w:tc>
        <w:tc>
          <w:tcPr>
            <w:tcW w:w="2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Dividend yield</w:t>
            </w:r>
          </w:p>
        </w:tc>
        <w:tc>
          <w:tcPr>
            <w:tcW w:w="280" w:type="dxa"/>
            <w:vAlign w:val="bottom"/>
          </w:tcPr>
          <w:p>
            <w:pPr>
              <w:spacing w:after="0"/>
              <w:rPr>
                <w:sz w:val="20"/>
                <w:szCs w:val="20"/>
                <w:color w:val="auto"/>
              </w:rPr>
            </w:pP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bl>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change in the fair value of the 2023 Warrant liability was determined to be zero during the three months ended March 31, 2023 (see Note 7 – Warrant Liability).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8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November 2016, the Company and Dialog entered into the Alliance Agreement for the manufacture, distribution and commercialization of products incorporating the Company’s wire-free charging technology (See Note 4 – Commitments and Contingencies, </w:t>
      </w:r>
      <w:r>
        <w:rPr>
          <w:rFonts w:ascii="Arial" w:cs="Arial" w:eastAsia="Arial" w:hAnsi="Arial"/>
          <w:sz w:val="16"/>
          <w:szCs w:val="16"/>
          <w:i w:val="1"/>
          <w:iCs w:val="1"/>
          <w:color w:val="auto"/>
        </w:rPr>
        <w:t>Strategic Alliance Agreement</w:t>
      </w:r>
      <w:r>
        <w:rPr>
          <w:rFonts w:ascii="Arial" w:cs="Arial" w:eastAsia="Arial" w:hAnsi="Arial"/>
          <w:sz w:val="16"/>
          <w:szCs w:val="16"/>
          <w:color w:val="auto"/>
        </w:rPr>
        <w:t>). On November 7, 2016 and June 28, 2017, the Company and Dialog entered into securities purchase agreements under which Dialog acquired a total of 1,739,691 shares and received warrants to purchase up to 1,417,565 shares. As of March 31, 2023, none of the warrants remain outstanding. As of March 31, 2023, Dialog owns approximately 1.9% of the Company’s outstanding common shares. The Company did not record any revenue during the three months ended March 31, 2023 and 2022. The Company incurred $124,055 and $0 in chip test development expense from Renesas Electronics Corporation, which acquired Dialog in August 2021 (“Renesas”), during the three months ended March 31, 2023 and 2022,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On September 20, 2021, the Company was notified by Dialog that it was terminating the Alliance Agreement between the Company and Dialog.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Customer Concentrations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Two customers accounted for approximately 84% of the Company’s revenue for the three months ended March 31, 2023, and two customers accounted for approximately 53% of the Company’s revenue for the three months ended March 31, 2022. Two customers accounted for approximately 80% of the Company’s accounts receivable balance as of March 31, 2023. One customer accounted for approximately 87% of the Company’s accounts receivable balance as of December 31, 2022.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right="378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right="20"/>
        <w:spacing w:after="0" w:line="267" w:lineRule="auto"/>
        <w:rPr>
          <w:sz w:val="20"/>
          <w:szCs w:val="20"/>
          <w:color w:val="auto"/>
        </w:rPr>
      </w:pPr>
      <w:r>
        <w:rPr>
          <w:rFonts w:ascii="Arial" w:cs="Arial" w:eastAsia="Arial" w:hAnsi="Arial"/>
          <w:sz w:val="17"/>
          <w:szCs w:val="17"/>
          <w:color w:val="auto"/>
        </w:rPr>
        <w:t>As used in this Quarterly Report on Form 10-Q, unless the context otherwise requires the terms “we,” “us,” “our,” and “Energous” refer to Energous Corporation,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the impact of COVID-19 and our response thereto on our business; and expectations for revenues, liquidity cash flows and financial performance, the anticipated results of our research and development efforts, the timing for receipt of required regulatory approvals and product launches.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and other risks and uncertainties described in the Risk Factors and in Management's Discussion and Analysis sections of our most recently filed Annual Report on Form 10-K and subsequently filed Quarterly Reports on Form 10-Q, including this Quarterly Report on Form 10-Q. We undertake no obligation to publicly update any of our forward-looking statements, whether as a result of new information, future developments or otherwise.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developed our WattUp® wireless power technology, consisting of semiconductor chipsets, software controls, hardware designs and antennas, that enables RF based charging for electronic devices. The WattUp technology has a broad spectrum of capabilities to enable the next generation of wireless power networks, delivering power and data in a seamless device portfolio. This includes near field and at-a-distance wireless charging with multiple power levels at various distances. We believe our WattUp technologies will help facilitate the deployment of the growing IoT applications. According to the International Data Corporation (IDC) August 2022 Market Forecast, the IoT market is forecasted to grow to approximately $1.1 trillion in spending by 2026. The initial IoT applications that we are targeting are in the area of RF tags, ESL) and IoT sensors for the retail, industrial, healthcare and smart home/office markets.</w:t>
      </w:r>
    </w:p>
    <w:p>
      <w:pPr>
        <w:spacing w:after="0" w:line="222"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believe our technology is innovative in its approach, in that we are developing solutions that charge electronic devices using RF. To-date, we have developed multiple transmitters and receivers, including prototypes as well as partner production designs. The transmitters vary based on form factor, power specifications and frequencies, while the receivers are designed to support a myriad of wireless charging applications including Bluetooth tracking tags, IoT sensors, ESLs, beacons, stock management devices, security cameras, handheld devices, smart automation, wearables and hearables.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first end product featuring our technology entered the market in 2019. We started shipping our first at-a-distance WattUp PowerBridge enabled transmitters for commercial IoT applications in the fourth quarter of 2021, and we expect additional WattUp-enabled products to be announced as we move our business forward.</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account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2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The liability will be re-measured at each balance sheet date until the warrants are exercised or expire.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spacing w:after="0" w:line="15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follow Accounting Standards Codification (“ASC”) 606, "Revenue from Contracts with Customers" (Topic 606).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606, we recognize revenue using the following five-step approach:</w:t>
      </w:r>
    </w:p>
    <w:p>
      <w:pPr>
        <w:spacing w:after="0" w:line="131" w:lineRule="exact"/>
        <w:rPr>
          <w:sz w:val="20"/>
          <w:szCs w:val="20"/>
          <w:color w:val="auto"/>
        </w:rPr>
      </w:pPr>
    </w:p>
    <w:p>
      <w:pPr>
        <w:ind w:left="880" w:hanging="4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spacing w:after="0" w:line="1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record revenue associated with the sale of production-level systems once control over the product is transferred to the customer. We record the expense related to the sales of these systems as cost of revenue during the period delivered.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8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2023 and 2022</w:t>
      </w:r>
    </w:p>
    <w:p>
      <w:pPr>
        <w:spacing w:after="0" w:line="1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three months ended March 31, 2023 and 2022, we recorded revenue of $96,676 and $215,961, respectively. The decrease of $119,285</w:t>
      </w:r>
      <w:r>
        <w:rPr>
          <w:rFonts w:ascii="Arial" w:cs="Arial" w:eastAsia="Arial" w:hAnsi="Arial"/>
          <w:sz w:val="18"/>
          <w:szCs w:val="18"/>
          <w:i w:val="1"/>
          <w:iCs w:val="1"/>
          <w:color w:val="auto"/>
        </w:rPr>
        <w:t xml:space="preserve"> </w:t>
      </w:r>
      <w:r>
        <w:rPr>
          <w:rFonts w:ascii="Arial" w:cs="Arial" w:eastAsia="Arial" w:hAnsi="Arial"/>
          <w:sz w:val="18"/>
          <w:szCs w:val="18"/>
          <w:color w:val="auto"/>
        </w:rPr>
        <w:t>is primarily due to a decrease in production-level systems sales volume.</w:t>
      </w:r>
    </w:p>
    <w:p>
      <w:pPr>
        <w:spacing w:after="0" w:line="130" w:lineRule="exact"/>
        <w:rPr>
          <w:sz w:val="20"/>
          <w:szCs w:val="20"/>
          <w:color w:val="auto"/>
        </w:rPr>
      </w:pPr>
    </w:p>
    <w:p>
      <w:pPr>
        <w:jc w:val="both"/>
        <w:ind w:right="280"/>
        <w:spacing w:after="0" w:line="381" w:lineRule="auto"/>
        <w:rPr>
          <w:sz w:val="20"/>
          <w:szCs w:val="20"/>
          <w:color w:val="auto"/>
        </w:rPr>
      </w:pPr>
      <w:r>
        <w:rPr>
          <w:rFonts w:ascii="Arial" w:cs="Arial" w:eastAsia="Arial" w:hAnsi="Arial"/>
          <w:sz w:val="15"/>
          <w:szCs w:val="15"/>
          <w:i w:val="1"/>
          <w:iCs w:val="1"/>
          <w:color w:val="auto"/>
        </w:rPr>
        <w:t xml:space="preserve">Costs and Expenses and Loss from Operations. </w:t>
      </w:r>
      <w:r>
        <w:rPr>
          <w:rFonts w:ascii="Arial" w:cs="Arial" w:eastAsia="Arial" w:hAnsi="Arial"/>
          <w:sz w:val="15"/>
          <w:szCs w:val="15"/>
          <w:color w:val="auto"/>
        </w:rPr>
        <w:t>Costs and expenses are made up of cost of revenue, research and development, sales and marketing and</w:t>
      </w:r>
      <w:r>
        <w:rPr>
          <w:rFonts w:ascii="Arial" w:cs="Arial" w:eastAsia="Arial" w:hAnsi="Arial"/>
          <w:sz w:val="15"/>
          <w:szCs w:val="15"/>
          <w:i w:val="1"/>
          <w:iCs w:val="1"/>
          <w:color w:val="auto"/>
        </w:rPr>
        <w:t xml:space="preserve"> </w:t>
      </w:r>
      <w:r>
        <w:rPr>
          <w:rFonts w:ascii="Arial" w:cs="Arial" w:eastAsia="Arial" w:hAnsi="Arial"/>
          <w:sz w:val="15"/>
          <w:szCs w:val="15"/>
          <w:color w:val="auto"/>
        </w:rPr>
        <w:t>general and administrative. Losses from operations for the three months ended March 31, 2023 and 2022 were $6,294,059 and $7,155,544, respectively.</w:t>
      </w:r>
    </w:p>
    <w:p>
      <w:pPr>
        <w:spacing w:after="0" w:line="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$138,813 and $203,249, respectively, for the three months ended March 31, 2023 and 2022. The decrease of $64,436</w:t>
      </w:r>
      <w:r>
        <w:rPr>
          <w:rFonts w:ascii="Arial" w:cs="Arial" w:eastAsia="Arial" w:hAnsi="Arial"/>
          <w:sz w:val="18"/>
          <w:szCs w:val="18"/>
          <w:i w:val="1"/>
          <w:iCs w:val="1"/>
          <w:color w:val="auto"/>
        </w:rPr>
        <w:t xml:space="preserve"> </w:t>
      </w:r>
      <w:r>
        <w:rPr>
          <w:rFonts w:ascii="Arial" w:cs="Arial" w:eastAsia="Arial" w:hAnsi="Arial"/>
          <w:sz w:val="18"/>
          <w:szCs w:val="18"/>
          <w:color w:val="auto"/>
        </w:rPr>
        <w:t>is primarily due to a decrease in sales volume.</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Research and development costs were $3,078,524 and $3,527,146, respectively,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and 2022. The decrease of $448,622 is primarily due to a $320,939 decrease in compensation, consisting of a $176,627 decrease in payroll costs and a $144,312 decrease in stock-based compensation, an $87,786 decrease in consulting and third-party services expenses and a $35,707 decrease in regulatory legal fees.</w:t>
      </w:r>
    </w:p>
    <w:p>
      <w:pPr>
        <w:spacing w:after="0" w:line="14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Sales and Marketing Costs. </w:t>
      </w:r>
      <w:r>
        <w:rPr>
          <w:rFonts w:ascii="Arial" w:cs="Arial" w:eastAsia="Arial" w:hAnsi="Arial"/>
          <w:sz w:val="16"/>
          <w:szCs w:val="16"/>
          <w:color w:val="auto"/>
        </w:rPr>
        <w:t>Sales and marketing costs for the three months ended March 31, 2023 and 2022 were $1,211,938 and $1,613,590,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of $401,652 is primarily due to a $208,413 decrease in compensation, consisting of a $132,939 decrease in payroll costs and a $75,474 decrease in stock-based compensation, a $101,876 decrease in engineering supplies used by the sales and marketing staff, a $66,739 decrease in tradeshow expense and a $59,214 decrease in public relations, consulting and third-party services expenses, partially offset by a $43,000 increase in recruiting fees.</w:t>
      </w:r>
    </w:p>
    <w:p>
      <w:pPr>
        <w:spacing w:after="0" w:line="117"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costs for the three months ended March 31, 2023 and 2022 were $1,961,460 and</w:t>
      </w:r>
      <w:r>
        <w:rPr>
          <w:rFonts w:ascii="Arial" w:cs="Arial" w:eastAsia="Arial" w:hAnsi="Arial"/>
          <w:sz w:val="17"/>
          <w:szCs w:val="17"/>
          <w:i w:val="1"/>
          <w:iCs w:val="1"/>
          <w:color w:val="auto"/>
        </w:rPr>
        <w:t xml:space="preserve"> </w:t>
      </w:r>
      <w:r>
        <w:rPr>
          <w:rFonts w:ascii="Arial" w:cs="Arial" w:eastAsia="Arial" w:hAnsi="Arial"/>
          <w:sz w:val="17"/>
          <w:szCs w:val="17"/>
          <w:color w:val="auto"/>
        </w:rPr>
        <w:t>$2,027,520, respectively. The decrease of $66,060 is primarily due to a $108,472 decrease in recruiting fees, a $71,048 decrease in investor relations, consulting and third-party services expenses, a $55,043 decrease in stock-based compensation, a $21,605 decrease in training expense and an $18,207 decrease in annual meeting costs, partially offset by a $209,106 increase in legal fees.</w:t>
      </w:r>
    </w:p>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Offering costs related to warrant liability. </w:t>
      </w:r>
      <w:r>
        <w:rPr>
          <w:rFonts w:ascii="Arial" w:cs="Arial" w:eastAsia="Arial" w:hAnsi="Arial"/>
          <w:sz w:val="18"/>
          <w:szCs w:val="18"/>
          <w:color w:val="auto"/>
        </w:rPr>
        <w:t>Offering costs related to warrant liability were $591,670 for the three months ended March 31, 2023. We did not</w:t>
      </w:r>
      <w:r>
        <w:rPr>
          <w:rFonts w:ascii="Arial" w:cs="Arial" w:eastAsia="Arial" w:hAnsi="Arial"/>
          <w:sz w:val="18"/>
          <w:szCs w:val="18"/>
          <w:i w:val="1"/>
          <w:iCs w:val="1"/>
          <w:color w:val="auto"/>
        </w:rPr>
        <w:t xml:space="preserve"> </w:t>
      </w:r>
      <w:r>
        <w:rPr>
          <w:rFonts w:ascii="Arial" w:cs="Arial" w:eastAsia="Arial" w:hAnsi="Arial"/>
          <w:sz w:val="18"/>
          <w:szCs w:val="18"/>
          <w:color w:val="auto"/>
        </w:rPr>
        <w:t>incur any such costs for the three months ended March 31, 2022.</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for the three months ended March 31, 2023 was $233,222 as compared to interest income of $2,826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2022. The increase of $230,396 is primarily due to higher savings interest rates.</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the three months ended March 31, 2023 was $6,652,507 as compared to $7,152,718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2022.</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2023 and 2022, we recorded revenue of $96,676 and $215,961, respectively. We incurred net losses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$6,652,507 and $7,152,718 for the three months ended March 31, 2023 and 2022, respectively. Net cash used in operating activities was $5,364,355 and</w:t>
      </w:r>
    </w:p>
    <w:p>
      <w:pPr>
        <w:spacing w:after="0" w:line="3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$6,356,971 for the three months ended March 31, 2023 and 2022, respectively. We are currently meeting our liquidity requirements through the proceeds of securities offerings that raised net proceeds of $27,043,751 during 2021, $744,787 during 2022 and $5,351,888 during the first quarter of 2023, along with proceeds from contributions to the ESPP and payments received from customers.</w:t>
      </w:r>
    </w:p>
    <w:p>
      <w:pPr>
        <w:spacing w:after="0" w:line="16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believe our cash on hand as of March 31, 2023, together with anticipated revenues, will be sufficient to fund our operations through May 2024. Although we intend to continue our research and development activities, there can be no assurance that our available resources will be sufficient to enable us to generate revenues sufficient to sustain operations. Accordingly, we will likely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w:t>
      </w:r>
    </w:p>
    <w:p>
      <w:pPr>
        <w:spacing w:after="0" w:line="136"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auto"/>
        </w:rPr>
        <w:t>During the three months ended March 31, 2023, cash flows used in operating activities were $5,364,355, consisting of a net loss of $6,652,507, less adjustments to reconcile net loss to net cash used in operating activities aggregating $1,439,420 (principally issuance costs allocated to warrant liability of $591,670, stock-based compensation of $522,077, amortization of operating lease ROU assets of $181,357, inventory net realizable adjustment of $111,019 and depreciation and amortization expense of $45,797), a $420,368 decrease in accrued expenses, a $176,606 decrease in operating lease liabilities and a $166,906 decrease in accrued severance expense, partially offset by a $450,253 increase in accounts payable and a $178,072 decrease in prepaid expenses and other current assets.</w:t>
      </w:r>
    </w:p>
    <w:p>
      <w:pPr>
        <w:spacing w:after="0" w:line="10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During the three months ended March 31, 2022, cash flows used in operating activities were $6,356,971, consisting of a net loss of $7,152,718, less non-cash expenses aggregating $1,053,761 (principally stock-based compensation of $796,906, decrease in amortization of operating lease right-of-use assets of $186,736 and depreciation and amortization expense of $70,119), a $271,044 decrease in accounts payable, a $203,010 decrease in operating lease liabilities and a $180,535 decrease in accrued expenses, partially offset by a $443,216 decrease in prepaid expenses and other current assets.</w:t>
      </w:r>
    </w:p>
    <w:p>
      <w:pPr>
        <w:spacing w:after="0" w:line="13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During the three months ended March 31, 2023 and 2022, cash flows used in investing activities were $0 and $44,489, respectively. The cash used in investing activities for the three months ended March 31, 2022 consisted of the purchase of new engineering software licenses.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2023, cash flows provided by financing activities were $5,417,022, which consisted of $2,677,191 in net proceeds from the issuance and sale of common stock and warrants, $2,674,697 in net proceeds from the sale of shares of our common stock in an at-the-market (“ATM”) offering and $65,134 in proceeds from the ESPP. During the three months ended March 31, 2022, cash flows provided by financing activities were $104,217, which consisted entirely of proceeds from contributions to the ESPP.</w:t>
      </w:r>
    </w:p>
    <w:p>
      <w:pPr>
        <w:spacing w:after="0" w:line="14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spacing w:after="0" w:line="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Furthermore, since we have no committed source of financing, there can be no assurance that we will be able to raise capital as and when we need it to continue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has been no material change in our exposure to market risk during the three months ended March 31, 2023. See "Quantitative and Qualitative Disclosures about Market Risk" in Part II, Item 7A of our Form 10-K for the year ended December 31, 2022 for a discussion of our exposure to market risk.</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established disclosure controls and procedures to ensure that material information relating to us is made known to the officers who certify our financial reports and the Board.</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Based on their evaluation as of March 31, 2023, our principal executive and principal financial officers have concluded that these disclosure controls and procedures (as defined in Rules 13a-15(e) and 15d-15(e) under the Exchange Act) were effective as of March 31, 2023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principal executive officer and our principal financial officer, as appropriate to allow timely decisions regarding required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quarter ended March 31, 2023,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520" w:firstLine="589"/>
        <w:spacing w:after="0" w:line="342" w:lineRule="auto"/>
        <w:rPr>
          <w:sz w:val="20"/>
          <w:szCs w:val="20"/>
          <w:color w:val="auto"/>
        </w:rPr>
      </w:pPr>
      <w:r>
        <w:rPr>
          <w:rFonts w:ascii="Arial" w:cs="Arial" w:eastAsia="Arial" w:hAnsi="Arial"/>
          <w:sz w:val="16"/>
          <w:szCs w:val="16"/>
          <w:color w:val="auto"/>
        </w:rPr>
        <w:t>We are not currently a party to any pending legal proceedings that we believe will have a material adverse effect on our business or financial condition. We may, however, be subject to various claims and legal actions arising in the ordinary course of business from time to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the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history of generating meaningful product revenue, and we may never achieve or maintain profitability.</w:t>
      </w:r>
    </w:p>
    <w:p>
      <w:pPr>
        <w:spacing w:after="0" w:line="185"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have a limited operating history upon which investors may rely in evaluating our business and prospects. We have generated limited revenues to date, and as of March 31, 2023, we had an accumulated deficit of approximately $369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sufficient scale to cover our costs of doing business, our losses will continue and we may not achieve profitability, which could negatively impact the value of your investment in our securities.</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likely need additional financings to achieve our long-term business plans, and there is no guarantee that it will be available on acceptable terms, or at all.</w:t>
      </w:r>
    </w:p>
    <w:p>
      <w:pPr>
        <w:spacing w:after="0" w:line="130"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We may not have sufficient funds to fully implement our long-term business plans. It is likely that we will need to raise additional capital through new financings, even if we begin to generate meaningful commercial revenue. For example, new product development for business partners may require considerable expense in advance of any substantial revenue being earned for such products. Such financings could include equity financing, which may be dilutive to our current stockholders, and debt financing, which could restrict our operations and ability to borrow from other sources. In addition, such securities may contain rights, preferences or privileges senior to those of current stockholders. As a result of current macroeconomic conditions and general global economic uncertainty (including as a result of the remaining effects of COVID-19, the ongoing conflict between Russia and the Ukraine and the global response thereto, increases in inflation, fluctuating interest rates, disruptions to global supply chains and recent turmoil in the global banking sector),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recent turmoil in the global banking sector, general economic uncertainty or any other factor, we may be required to curtail development of our technology or reduce operations as a result, or to sell or dispose of assets. Any inability to raise adequate funds on commercially reasonable terms or at all could have a material adverse effect on our business, results of operations and financial condition, including the possibility that a lack of funds could cause our business to fail and liquidate with little or no return to investors.</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may be adversely affected by the effects of inflation.</w:t>
      </w:r>
    </w:p>
    <w:p>
      <w:pPr>
        <w:spacing w:after="0" w:line="185"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Inflation has the potential to adversely affect our liquidity, business, financial condition and results of operations by increasing our overall cost structure. The U.S. capital markets have experienced and continue to experience extreme volatility and disruption. Inflation rates in the U.S. significantly increased in 2022 resulting in federal action to increase interest rates, adversely affecting capital markets activity. The existence of inflation in the economy has resulted in, and may continue to result in, higher interest rates and capital costs, shipping costs, supply shortages, increased costs of labor, labor shortages, weakening exchange rates and other similar effects. As a result of inflation, we have and may continue to experience cost increases, including increases in our supply chain costs.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 Additionally, because we purchase component parts from our suppliers, we may be adversely impacted by their inability to adequately mitigate inflationary, industry, or economic pressures.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all the features we seek to include in our technology.</w:t>
      </w:r>
    </w:p>
    <w:p>
      <w:pPr>
        <w:spacing w:after="0" w:line="185" w:lineRule="exact"/>
        <w:rPr>
          <w:sz w:val="20"/>
          <w:szCs w:val="20"/>
          <w:color w:val="auto"/>
        </w:rPr>
      </w:pPr>
    </w:p>
    <w:p>
      <w:pPr>
        <w:ind w:right="460" w:firstLine="589"/>
        <w:spacing w:after="0" w:line="296" w:lineRule="auto"/>
        <w:rPr>
          <w:sz w:val="20"/>
          <w:szCs w:val="20"/>
          <w:color w:val="auto"/>
        </w:rPr>
      </w:pPr>
      <w:r>
        <w:rPr>
          <w:rFonts w:ascii="Arial" w:cs="Arial" w:eastAsia="Arial" w:hAnsi="Arial"/>
          <w:sz w:val="16"/>
          <w:szCs w:val="16"/>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for our products over time. However, there can be no assurance that we will be successful in achieving all the features we are targeting, and our inability to do so may limit the appeal of our technology to consumers.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demonstrate the commercial feasibility of the full capability of our technology.</w:t>
      </w:r>
    </w:p>
    <w:p>
      <w:pPr>
        <w:spacing w:after="0" w:line="185"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We have developed both commercial products and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126"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Our technology must satisfy customer expectations and be suitable for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all or part of the value of your investment in the Company. If we fail to develop practical and economical commercial products based on our technology, our business may fail and you could lose all or part of the value of your investment in our stock.</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Expanding our business operations as we intend will impose new demands on our financial, technical, operational and management resources.</w:t>
      </w:r>
    </w:p>
    <w:p>
      <w:pPr>
        <w:spacing w:after="0" w:line="208" w:lineRule="exact"/>
        <w:rPr>
          <w:sz w:val="20"/>
          <w:szCs w:val="20"/>
          <w:color w:val="auto"/>
        </w:rPr>
      </w:pPr>
    </w:p>
    <w:p>
      <w:pPr>
        <w:ind w:right="220" w:firstLine="589"/>
        <w:spacing w:after="0" w:line="275" w:lineRule="auto"/>
        <w:rPr>
          <w:sz w:val="20"/>
          <w:szCs w:val="20"/>
          <w:color w:val="auto"/>
        </w:rPr>
      </w:pPr>
      <w:r>
        <w:rPr>
          <w:rFonts w:ascii="Arial" w:cs="Arial" w:eastAsia="Arial" w:hAnsi="Arial"/>
          <w:sz w:val="17"/>
          <w:szCs w:val="17"/>
          <w:color w:val="auto"/>
        </w:rPr>
        <w:t>To date we have operated primarily in the research and development phase of our business. If we are successful in commercializing our product offerings,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30"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Market acceptance of an RF-based charging system as a preferred method for charging electronic devices will be crucial to our success. The following factors, among others, may affect the level of market acceptance of our products:</w:t>
      </w:r>
    </w:p>
    <w:p>
      <w:pPr>
        <w:spacing w:after="0" w:line="62" w:lineRule="exact"/>
        <w:rPr>
          <w:sz w:val="20"/>
          <w:szCs w:val="20"/>
          <w:color w:val="auto"/>
        </w:rPr>
      </w:pPr>
    </w:p>
    <w:p>
      <w:pPr>
        <w:ind w:left="880" w:hanging="4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of products incorporating our technology relative to other products or competing technologies;</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user perceptions of the convenience, safety, efficiency and benefits of our technology;</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sales and marketing efforts of our commercialization partners;</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support and rate of acceptance of our technology and solutions with our development partners;</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press and blog coverage, social media coverage, and other publicity factors that are not within our control; and</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85"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If we are unable to achieve or maintain market acceptance of our technology, and if related products do not win widespread market acceptance, our business will be significantly harmed.</w:t>
      </w:r>
    </w:p>
    <w:p>
      <w:pPr>
        <w:spacing w:after="0" w:line="14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products incorporating our technology are launched commercially, we may experience seasonality or other unevenness in our financial results in consumer markets or a long and variable sales cycle in enterprise markets.</w:t>
      </w:r>
    </w:p>
    <w:p>
      <w:pPr>
        <w:spacing w:after="0" w:line="130"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Our strategy depends on our customers developing successful commercial products using our technology and selling them into the retail, industrial, healthcare and smart/home office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p>
    <w:p>
      <w:pPr>
        <w:spacing w:after="0" w:line="15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Future products based on our technology may require the user to purchase additional products to use with existing devices. To the extent these additional purchases are inconvenient or costly, the adoption of our technology under development or other future products could be slowed, which would harm our business.</w:t>
      </w:r>
    </w:p>
    <w:p>
      <w:pPr>
        <w:spacing w:after="0" w:line="157"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of our products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b w:val="1"/>
          <w:bCs w:val="1"/>
          <w:i w:val="1"/>
          <w:iCs w:val="1"/>
          <w:color w:val="auto"/>
        </w:rPr>
        <w:t>Laboratory conditions differ from field conditions, which could reduce the effectiveness of our technology under development or other future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to move from laboratory to the field effectively would harm our business.</w:t>
      </w:r>
    </w:p>
    <w:p>
      <w:pPr>
        <w:spacing w:after="0" w:line="184"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consumer use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concerns and legal action by private parties may affect our business.</w:t>
      </w:r>
    </w:p>
    <w:p>
      <w:pPr>
        <w:spacing w:after="0" w:line="252"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We believe that our technology is safe. However, it is possible that we could discover safety issues with our technology or that third-parties may raise concerns relating to RF-based charging in a similar manner as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from medical ailments may blame the use of products incorporating our technology for the triggering or worsening of those ailments, as occurred with a small number of users of cellular telephones. A discovery of safety issues relating to our technology could have a material adverse effect on our business and any legal action against us claiming that our technology caused harm could be expensive, divert management attention and adversely affect us or cause our business to fail, whether or not such legal actions were ultimately successful.</w:t>
      </w:r>
    </w:p>
    <w:p>
      <w:pPr>
        <w:spacing w:after="0" w:line="19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p>
    <w:p>
      <w:pPr>
        <w:spacing w:after="0" w:line="143"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The consumer electronics industry in general, and the charging segments in particular, are subject to intense competition and rapidly evolving technologies.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spacing w:after="0" w:line="141"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the financial resources, technical expertise, marketing, distribution or support capabilities to compete successfully in the future. Our success will depend in large part on our ability to maintain a competitive position with our technologies.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competitive position also depends on our ability to:</w:t>
      </w:r>
    </w:p>
    <w:p>
      <w:pPr>
        <w:spacing w:after="0" w:line="117" w:lineRule="exact"/>
        <w:rPr>
          <w:sz w:val="20"/>
          <w:szCs w:val="20"/>
          <w:color w:val="auto"/>
        </w:rPr>
      </w:pPr>
    </w:p>
    <w:p>
      <w:pPr>
        <w:ind w:left="880" w:right="260" w:hanging="4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 widespread awareness, acceptance and adoption by the consumer and enterprise markets of our technology under development and future products;</w:t>
      </w:r>
    </w:p>
    <w:p>
      <w:pPr>
        <w:spacing w:after="0" w:line="62" w:lineRule="exact"/>
        <w:rPr>
          <w:rFonts w:ascii="Arial" w:cs="Arial" w:eastAsia="Arial" w:hAnsi="Arial"/>
          <w:sz w:val="18"/>
          <w:szCs w:val="18"/>
          <w:color w:val="auto"/>
        </w:rPr>
      </w:pPr>
    </w:p>
    <w:p>
      <w:pPr>
        <w:ind w:left="880" w:hanging="4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a product that may be sold at an acceptable price point;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ind w:left="880" w:right="120" w:hanging="432"/>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new or enhanced technologies or features that improve the convenience, efficiency, safety or perceived safety, and productivity of our technology under development and future products;</w:t>
      </w:r>
    </w:p>
    <w:p>
      <w:pPr>
        <w:spacing w:after="0" w:line="62" w:lineRule="exact"/>
        <w:rPr>
          <w:rFonts w:ascii="Arial" w:cs="Arial" w:eastAsia="Arial" w:hAnsi="Arial"/>
          <w:sz w:val="18"/>
          <w:szCs w:val="18"/>
          <w:color w:val="auto"/>
        </w:rPr>
      </w:pPr>
    </w:p>
    <w:p>
      <w:pPr>
        <w:ind w:left="880" w:hanging="43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properly identify customer needs and deliver new products or product enhancements to address those needs;</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time required from proof of feasibility to routine production;</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timing and cost of regulatory approvals;</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 our inventions with patents or otherwise develop proprietary products and processes; and</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secure sufficient capital resources to expand both our continued research and development, and sales and marketing efforts.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our technology does not compete well based on these or other factors, our business could be materially and adversely harmed.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Other Legal Risks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is difficult and costly to protect our intellectual property and our proprietary technologies, and we may not be able to ensure their protection.</w:t>
      </w:r>
    </w:p>
    <w:p>
      <w:pPr>
        <w:spacing w:after="0" w:line="208"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a combination of patent, trade secrets, copyright and trademark laws to protect our intellectual property and technology.</w:t>
      </w:r>
    </w:p>
    <w:p>
      <w:pPr>
        <w:spacing w:after="0" w:line="196" w:lineRule="exact"/>
        <w:rPr>
          <w:sz w:val="20"/>
          <w:szCs w:val="20"/>
          <w:color w:val="auto"/>
        </w:rPr>
      </w:pPr>
    </w:p>
    <w:p>
      <w:pPr>
        <w:ind w:right="200" w:firstLine="589"/>
        <w:spacing w:after="0" w:line="270" w:lineRule="auto"/>
        <w:rPr>
          <w:sz w:val="20"/>
          <w:szCs w:val="20"/>
          <w:color w:val="auto"/>
        </w:rPr>
      </w:pPr>
      <w:r>
        <w:rPr>
          <w:rFonts w:ascii="Arial" w:cs="Arial" w:eastAsia="Arial" w:hAnsi="Arial"/>
          <w:sz w:val="17"/>
          <w:szCs w:val="17"/>
          <w:color w:val="auto"/>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40"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1" w:name="page32"/>
    <w:bookmarkEnd w:id="31"/>
    <w:p>
      <w:pPr>
        <w:jc w:val="both"/>
        <w:ind w:right="280" w:firstLine="589"/>
        <w:spacing w:after="0" w:line="263" w:lineRule="auto"/>
        <w:rPr>
          <w:sz w:val="20"/>
          <w:szCs w:val="20"/>
          <w:color w:val="auto"/>
        </w:rPr>
      </w:pPr>
      <w:r>
        <w:rPr>
          <w:rFonts w:ascii="Arial" w:cs="Arial" w:eastAsia="Arial" w:hAnsi="Arial"/>
          <w:sz w:val="18"/>
          <w:szCs w:val="18"/>
          <w:color w:val="auto"/>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57" w:lineRule="exact"/>
        <w:rPr>
          <w:sz w:val="20"/>
          <w:szCs w:val="20"/>
          <w:color w:val="auto"/>
        </w:rPr>
      </w:pPr>
    </w:p>
    <w:p>
      <w:pPr>
        <w:ind w:right="160" w:firstLine="589"/>
        <w:spacing w:after="0" w:line="273" w:lineRule="auto"/>
        <w:rPr>
          <w:sz w:val="20"/>
          <w:szCs w:val="20"/>
          <w:color w:val="auto"/>
        </w:rPr>
      </w:pPr>
      <w:r>
        <w:rPr>
          <w:rFonts w:ascii="Arial" w:cs="Arial" w:eastAsia="Arial" w:hAnsi="Arial"/>
          <w:sz w:val="17"/>
          <w:szCs w:val="17"/>
          <w:color w:val="auto"/>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patent infringement or other intellectual property lawsuits that could be costly to defend.</w:t>
      </w:r>
    </w:p>
    <w:p>
      <w:pPr>
        <w:spacing w:after="0" w:line="185" w:lineRule="exact"/>
        <w:rPr>
          <w:sz w:val="20"/>
          <w:szCs w:val="20"/>
          <w:color w:val="auto"/>
        </w:rPr>
      </w:pPr>
    </w:p>
    <w:p>
      <w:pPr>
        <w:ind w:right="60" w:firstLine="589"/>
        <w:spacing w:after="0" w:line="268" w:lineRule="auto"/>
        <w:rPr>
          <w:sz w:val="20"/>
          <w:szCs w:val="20"/>
          <w:color w:val="auto"/>
        </w:rPr>
      </w:pPr>
      <w:r>
        <w:rPr>
          <w:rFonts w:ascii="Arial" w:cs="Arial" w:eastAsia="Arial" w:hAnsi="Arial"/>
          <w:sz w:val="17"/>
          <w:szCs w:val="17"/>
          <w:color w:val="auto"/>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1"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If we become subject to a patent infringement or other intellectual property lawsuit and if the relevant patents or other intellectual property are upheld as valid and enforceable and we are found to have infringed or violated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p>
    <w:p>
      <w:pPr>
        <w:spacing w:after="0" w:line="2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could become subject to product liability claims, product recalls, and warranty claims that could be expensive, divert management’s attention and harm our business.</w:t>
      </w:r>
    </w:p>
    <w:p>
      <w:pPr>
        <w:spacing w:after="0" w:line="19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and possibly prove defects (some of which could be alleged or proved to cause harm to users or others) because we design our technology to perform complex functions involving RF energy in close proximity to users. A product liability claim, regardless of its merit or eventual outcome, could result in significant legal defense costs. The coverage limits of the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ind w:right="40"/>
        <w:spacing w:after="0" w:line="277" w:lineRule="auto"/>
        <w:rPr>
          <w:sz w:val="20"/>
          <w:szCs w:val="20"/>
          <w:color w:val="auto"/>
        </w:rPr>
      </w:pPr>
      <w:r>
        <w:rPr>
          <w:rFonts w:ascii="Arial" w:cs="Arial" w:eastAsia="Arial" w:hAnsi="Arial"/>
          <w:sz w:val="18"/>
          <w:szCs w:val="18"/>
          <w:color w:val="auto"/>
        </w:rPr>
        <w:t>affect our sales or require a change in the design or manufacturing process, any of which could harm our reputation, harm our relationship with licensors of our products, result in a decline in revenue and harm our business.</w:t>
      </w:r>
    </w:p>
    <w:p>
      <w:pPr>
        <w:spacing w:after="0" w:line="19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into the products incorporating our technology, which could in turn result in required recalls, restrictions on the sale of such products or other penalties. The adverse publicity resulting from any of these actions could adversely affect the perceptions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data security risks, including security breaches.</w:t>
      </w:r>
    </w:p>
    <w:p>
      <w:pPr>
        <w:spacing w:after="0" w:line="185"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We collect, process, store and transmit substantial amounts of information, including information about our customers. We take steps to protect the security and integrity of the information we collect, process, store and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that is able to illicitly obtain a customer’s identification and password credentials may be able to access our customer’s accounts and certain account data.</w:t>
      </w:r>
    </w:p>
    <w:p>
      <w:pPr>
        <w:spacing w:after="0" w:line="152"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We rely on email and other electronic means of communication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w:t>
      </w:r>
    </w:p>
    <w:p>
      <w:pPr>
        <w:spacing w:after="0" w:line="147" w:lineRule="exact"/>
        <w:rPr>
          <w:sz w:val="20"/>
          <w:szCs w:val="20"/>
          <w:color w:val="auto"/>
        </w:rPr>
      </w:pPr>
    </w:p>
    <w:p>
      <w:pPr>
        <w:jc w:val="both"/>
        <w:ind w:right="60" w:firstLine="589"/>
        <w:spacing w:after="0" w:line="291" w:lineRule="auto"/>
        <w:rPr>
          <w:sz w:val="20"/>
          <w:szCs w:val="20"/>
          <w:color w:val="auto"/>
        </w:rPr>
      </w:pPr>
      <w:r>
        <w:rPr>
          <w:rFonts w:ascii="Arial" w:cs="Arial" w:eastAsia="Arial" w:hAnsi="Arial"/>
          <w:sz w:val="16"/>
          <w:szCs w:val="16"/>
          <w:color w:val="auto"/>
        </w:rPr>
        <w:t>Any actual, perceived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We could also be exposed to a risk of loss or litigation and potential liability under laws, regulations and contracts that protect the privacy and security of personal information. Our insurance policies may not be adequate to reimburse us for direct losses caused by any such security breach or indirect losses due to resulting customer attrition. Any of these events or circumstances could materially adversely affect our business, financial condition and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secure advantageous license agreements for our technology, our business and results of operations will be adversely affected.</w:t>
      </w:r>
    </w:p>
    <w:p>
      <w:pPr>
        <w:spacing w:after="0" w:line="208"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We pursue the licensing of our technology as a primary means of revenue generation. Creating a licensing business relationship often takes substantial effort, as we expect to have to convince the counterparty of the efficacy of our technology, meet design and manufacturing requirements, satisfy marketing and product needs, and comply 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Regulation of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Domestic and international regulators may deny approval for our technology, and future legislative or regulatory changes may impair our business.</w:t>
      </w:r>
    </w:p>
    <w:p>
      <w:pPr>
        <w:spacing w:after="0" w:line="221"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Our charging technology involves power transmission using RF energy, which is subject to regulation by the Federal Communications Commission (the “FCC”) in the United States and by comparable regulatory agencies worldwide. It may also be subject to regulation by other agencies. Regulatory concerns include whether human exposure to RF emissions falls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are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Personnel</w:t>
      </w:r>
    </w:p>
    <w:p>
      <w:pPr>
        <w:spacing w:after="0" w:line="25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73"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Our ability to implement our business plan depends, to a critical extent, on the continued efforts and services of a very small number of key executives. If we lose the services of any of the key members of our executive management team, we could be required to expend significant time and money in the pursuit of replacements, which may result in a delay in the implementation of our business plan and plan of operations. If necessary, we can give no assurance that we could find satisfactory permanent replacements for these individuals at all or on terms that would not be unduly expensive or burdensome to us. We do not currently carry any key-person life insurance that would help us recoup our costs in the event of the death or disability of any of these executives.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and growth depend on our ability to attract, integrate and retain high-level engineering talent.</w:t>
      </w:r>
    </w:p>
    <w:p>
      <w:pPr>
        <w:spacing w:after="0" w:line="185" w:lineRule="exact"/>
        <w:rPr>
          <w:sz w:val="20"/>
          <w:szCs w:val="20"/>
          <w:color w:val="auto"/>
        </w:rPr>
      </w:pPr>
    </w:p>
    <w:p>
      <w:pPr>
        <w:ind w:right="100" w:firstLine="589"/>
        <w:spacing w:after="0" w:line="271" w:lineRule="auto"/>
        <w:rPr>
          <w:sz w:val="20"/>
          <w:szCs w:val="20"/>
          <w:color w:val="auto"/>
        </w:rPr>
      </w:pPr>
      <w:r>
        <w:rPr>
          <w:rFonts w:ascii="Arial" w:cs="Arial" w:eastAsia="Arial" w:hAnsi="Arial"/>
          <w:sz w:val="17"/>
          <w:szCs w:val="17"/>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Further, in recent years, the increased availability of hybrid or remote working arrangements has expanded the pool of companies that can compete for our employees and employment candidates.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utilization of engineering consultants.</w:t>
      </w:r>
    </w:p>
    <w:p>
      <w:pPr>
        <w:spacing w:after="0" w:line="185" w:lineRule="exact"/>
        <w:rPr>
          <w:sz w:val="20"/>
          <w:szCs w:val="20"/>
          <w:color w:val="auto"/>
        </w:rPr>
      </w:pPr>
    </w:p>
    <w:p>
      <w:pPr>
        <w:ind w:right="180" w:firstLine="589"/>
        <w:spacing w:after="0" w:line="254" w:lineRule="auto"/>
        <w:rPr>
          <w:sz w:val="20"/>
          <w:szCs w:val="20"/>
          <w:color w:val="auto"/>
        </w:rPr>
      </w:pPr>
      <w:r>
        <w:rPr>
          <w:rFonts w:ascii="Arial" w:cs="Arial" w:eastAsia="Arial" w:hAnsi="Arial"/>
          <w:sz w:val="18"/>
          <w:szCs w:val="18"/>
          <w:color w:val="auto"/>
        </w:rPr>
        <w:t>To improve productivity and accelerate our development efforts while we build out our own engineering team, we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could make our common stock less attractive to investors.</w:t>
      </w:r>
    </w:p>
    <w:p>
      <w:pPr>
        <w:spacing w:after="0" w:line="143"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3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effective internal control over financial reporting, investors may lose confidence in the accuracy of our financial reports.</w:t>
      </w:r>
    </w:p>
    <w:p>
      <w:pPr>
        <w:spacing w:after="0" w:line="233"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March 31, 2023, we cannot assure you that we will not identify any material weakness in our internal control in the future.</w:t>
      </w:r>
    </w:p>
    <w:p>
      <w:pPr>
        <w:spacing w:after="0" w:line="143"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We qualify as a “smaller reporting company” and are therefore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listing requirements of The Nasdaq Stock Market, or Nasdaq,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spacing w:after="0" w:line="138"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might lose all or part of your investment.</w:t>
      </w:r>
    </w:p>
    <w:p>
      <w:pPr>
        <w:spacing w:after="0" w:line="198"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Investing in our common stock involves a high degree of risk. As an investor, you might never recoup all, or even part of, your investment and you may never realize any return on your investment. You must be prepared to lose all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continue to be volatile.</w:t>
      </w:r>
    </w:p>
    <w:p>
      <w:pPr>
        <w:spacing w:after="0" w:line="185"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market price of our common stock has fluctuated significantly since our initial public offering in 2014. The price of our common stock is likely to continue to fluctuate significantly in response to many factors that are beyond our control, including:</w:t>
      </w:r>
    </w:p>
    <w:p>
      <w:pPr>
        <w:spacing w:after="0" w:line="62" w:lineRule="exact"/>
        <w:rPr>
          <w:sz w:val="20"/>
          <w:szCs w:val="20"/>
          <w:color w:val="auto"/>
        </w:rPr>
      </w:pPr>
    </w:p>
    <w:p>
      <w:pPr>
        <w:ind w:left="880" w:hanging="43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announcements;</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117" w:lineRule="exact"/>
        <w:rPr>
          <w:rFonts w:ascii="Arial" w:cs="Arial" w:eastAsia="Arial" w:hAnsi="Arial"/>
          <w:sz w:val="18"/>
          <w:szCs w:val="18"/>
          <w:color w:val="auto"/>
        </w:rPr>
      </w:pPr>
    </w:p>
    <w:p>
      <w:pPr>
        <w:ind w:left="880" w:right="200" w:hanging="432"/>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macroeconomic, industry and market conditions, including increases in inflation or fluctuating interest rates and disruptions to global supply chains, and perceptions of future economic growth prospects in the economy at large;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ind w:left="1160" w:hanging="71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recent turmoil in the global banking sector;</w:t>
      </w:r>
    </w:p>
    <w:p>
      <w:pPr>
        <w:spacing w:after="0" w:line="117" w:lineRule="exact"/>
        <w:rPr>
          <w:rFonts w:ascii="Arial" w:cs="Arial" w:eastAsia="Arial" w:hAnsi="Arial"/>
          <w:sz w:val="18"/>
          <w:szCs w:val="18"/>
          <w:color w:val="auto"/>
        </w:rPr>
      </w:pPr>
    </w:p>
    <w:p>
      <w:pPr>
        <w:ind w:left="880" w:right="200" w:hanging="432"/>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 such as the ongoing conflict between Russia and the Ukraine and the response thereto;</w:t>
      </w:r>
    </w:p>
    <w:p>
      <w:pPr>
        <w:spacing w:after="0" w:line="62" w:lineRule="exact"/>
        <w:rPr>
          <w:rFonts w:ascii="Arial" w:cs="Arial" w:eastAsia="Arial" w:hAnsi="Arial"/>
          <w:sz w:val="18"/>
          <w:szCs w:val="18"/>
          <w:color w:val="auto"/>
        </w:rPr>
      </w:pPr>
    </w:p>
    <w:p>
      <w:pPr>
        <w:ind w:left="880" w:hanging="4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and other calamities, including global pandemics such as the COVID-19 pandemic;</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economic performance and/or market valuations of other technology companies;</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announcements of significant strategic partnerships, regulatory developments and other events;</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other companies in our industry;</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articles published or rumors circulated by third parties regarding our business, technology or development partners;</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or other transactions involving our capital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dividends in the past and have no immediate plans to pay dividends.</w:t>
      </w:r>
    </w:p>
    <w:p>
      <w:pPr>
        <w:spacing w:after="0" w:line="198"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30"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As a public reporting company, we incur significant legal, accounting and other expenses. We are subject to reporting requirements of the Exchange Act and rules subsequently implemented by the SEC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will increase significantly if we cease to qualify as a smaller reporting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19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ability to use Federal net operating loss carry forwards to reduce future tax payments may be limited if our taxable income does not reach sufficient levels.</w:t>
      </w:r>
    </w:p>
    <w:p>
      <w:pPr>
        <w:spacing w:after="0" w:line="143"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As of December 31, 2022, we had Federal net operating loss (“NOL”) carry forwards of approximately $273,056,000. Under the Internal Revenue Code of 1986, as amended,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March 31, 2023, based on our history of operating losses it is possible that a portion of our NOLs will not be fully realizable.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185"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stockholders might otherwise deem to be in their best interests. The provisions in our certificate of incorporation and bylaws:</w:t>
      </w:r>
    </w:p>
    <w:p>
      <w:pPr>
        <w:spacing w:after="0" w:line="117" w:lineRule="exact"/>
        <w:rPr>
          <w:sz w:val="20"/>
          <w:szCs w:val="20"/>
          <w:color w:val="auto"/>
        </w:rPr>
      </w:pPr>
    </w:p>
    <w:p>
      <w:pPr>
        <w:ind w:left="880" w:right="220" w:hanging="432"/>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 our Board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75" w:lineRule="exact"/>
        <w:rPr>
          <w:rFonts w:ascii="Arial" w:cs="Arial" w:eastAsia="Arial" w:hAnsi="Arial"/>
          <w:sz w:val="18"/>
          <w:szCs w:val="18"/>
          <w:color w:val="auto"/>
        </w:rPr>
      </w:pPr>
    </w:p>
    <w:p>
      <w:pPr>
        <w:ind w:left="880" w:hanging="4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provide for cumulative voting rights; and</w:t>
      </w:r>
    </w:p>
    <w:p>
      <w:pPr>
        <w:spacing w:after="0" w:line="117" w:lineRule="exact"/>
        <w:rPr>
          <w:rFonts w:ascii="Arial" w:cs="Arial" w:eastAsia="Arial" w:hAnsi="Arial"/>
          <w:sz w:val="18"/>
          <w:szCs w:val="18"/>
          <w:color w:val="auto"/>
        </w:rPr>
      </w:pPr>
    </w:p>
    <w:p>
      <w:pPr>
        <w:ind w:left="880" w:hanging="4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that all vacancies may be filled by the affirmative vote of a majority of directors then in office, even if less than a quorum.</w:t>
      </w:r>
    </w:p>
    <w:p>
      <w:pPr>
        <w:spacing w:after="0" w:line="252"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warrants that are accounted for as liabilities and the changes in value of our warrants could have a material effect on the market price of our common stock or our financial results.</w:t>
      </w:r>
    </w:p>
    <w:p>
      <w:pPr>
        <w:spacing w:after="0" w:line="238"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account for the 2023 Warrants in accordance with the guidance contained in Accounting Standards Codification (“ASC”) 815, Derivatives and Hedging. Such guidance provides that, because the 2023 Warrants do not meet the criteria for equity treatment thereunder, each 2023 Warrants must be recorded as a liability. Accordingly, we classify each 2023 Warrants as a liability at its fair value. This liability is subject to re-measurement at each balance sheet date, with a resulting non-cash gain or loss related to the change in the fair value being recognized in earnings in the statements of operations. With each such remeasurement, the warrant liability is adjusted to fair value, with the change in fair value recognized in our statement of operations and therefore our reported earnings. As a result of the recurring fair value measurement, our consolidated financial statements and results of operations may fluctuate quarterly based on factors which are outside of our control. Due to the recurring fair value measurement, we expect that we will recognize non-cash gains or losses on the 2023 Warrants each reporting period and that the amount of such gains or losses could be material. The impact of changes in fair value on earnings may have an adverse effect on the market price of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The price of our common stock may not meet the requirements for continued listing on Nasdaq. If we fail to regain compliance with the minimum listing requirements, our common stock will be subject to delisting. Our ability to publicly or privately sell equity securities and the liquidity of our common stock could be adversely affected if our common stock is delisted.</w:t>
      </w:r>
    </w:p>
    <w:p>
      <w:pPr>
        <w:spacing w:after="0" w:line="76"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The continued listing standards of Nasdaq require, among other things, that the minimum bid price of a listed company’s stock be at or above $1.00. If the closing minimum bid price is below $1.00 for a period of more than 30 consecutive trading days, the listed company will fail to be in compliance with Nasdaq’s listing rules and, if it does not regain compliance within the grace period, will be subject to delisting. As previously reported, on January 20, 2023, we received a notice from the Nasdaq Listing Qualifications Department notifying us that for 30 consecutive trading days, the bid price of our common stock had closed below the minimum $1.00 per share requirement. In accordance with Nasdaq’s listing rules, we were afforded a grace period of 180 calendar days, or until July 19, 2023, to regain compliance with the bid price requirement. In order to regain compliance, the bid price of our common stock must close at a price of at least $1.00 per share for a minimum of 10 consecutive trading days.</w:t>
      </w:r>
    </w:p>
    <w:p>
      <w:pPr>
        <w:spacing w:after="0" w:line="150" w:lineRule="exact"/>
        <w:rPr>
          <w:sz w:val="20"/>
          <w:szCs w:val="20"/>
          <w:color w:val="auto"/>
        </w:rPr>
      </w:pPr>
    </w:p>
    <w:p>
      <w:pPr>
        <w:jc w:val="both"/>
        <w:ind w:right="500" w:firstLine="589"/>
        <w:spacing w:after="0" w:line="275" w:lineRule="auto"/>
        <w:rPr>
          <w:sz w:val="20"/>
          <w:szCs w:val="20"/>
          <w:color w:val="auto"/>
        </w:rPr>
      </w:pPr>
      <w:r>
        <w:rPr>
          <w:rFonts w:ascii="Arial" w:cs="Arial" w:eastAsia="Arial" w:hAnsi="Arial"/>
          <w:sz w:val="17"/>
          <w:szCs w:val="17"/>
          <w:color w:val="auto"/>
        </w:rPr>
        <w:t>If we fail to regain compliance by July 19, 2023, we may be eligible for a second 180 day compliance period, provided that we, among other things, meet the continued listing requirement for market value of publicly held shares as well as all other standards for initial listing on The Nasdaq Capital Market, with the exception of the minimum bid price requirement, and provide written notice of our intention to cure the bid price deficiency during the second compliance period by effecting a reverse stock split, if necessary. Such extension of the grace period would be subject to Nasdaq’s discretion, and there can be no guarantee that we would be granted an extension.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7" w:name="page38"/>
    <w:bookmarkEnd w:id="37"/>
    <w:p>
      <w:pPr>
        <w:ind w:firstLine="589"/>
        <w:spacing w:after="0" w:line="268" w:lineRule="auto"/>
        <w:rPr>
          <w:sz w:val="20"/>
          <w:szCs w:val="20"/>
          <w:color w:val="auto"/>
        </w:rPr>
      </w:pPr>
      <w:r>
        <w:rPr>
          <w:rFonts w:ascii="Arial" w:cs="Arial" w:eastAsia="Arial" w:hAnsi="Arial"/>
          <w:sz w:val="17"/>
          <w:szCs w:val="17"/>
          <w:color w:val="auto"/>
        </w:rPr>
        <w:t>We cannot provide any guarantee that we will regain compliance during the grace period or be able to maintain compliance with Nasdaq’s listing requirements in the future. If we are not able to regain compliance during the grace period, or any extension of the grace period for which we may be eligible, our common stock will be subject to delisting and “penny stock” rules.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b w:val="1"/>
          <w:bCs w:val="1"/>
          <w:i w:val="1"/>
          <w:iCs w:val="1"/>
          <w:color w:val="auto"/>
        </w:rPr>
        <w:t>Adverse macroeconomic conditions, natural disasters or reduced technology spending could adversely affect our business, operating results, and financial condition.</w:t>
      </w:r>
    </w:p>
    <w:p>
      <w:pPr>
        <w:spacing w:after="0" w:line="1" w:lineRule="exact"/>
        <w:rPr>
          <w:sz w:val="20"/>
          <w:szCs w:val="20"/>
          <w:color w:val="auto"/>
        </w:rPr>
      </w:pPr>
    </w:p>
    <w:p>
      <w:pPr>
        <w:ind w:right="100" w:firstLine="589"/>
        <w:spacing w:after="0" w:line="287" w:lineRule="auto"/>
        <w:rPr>
          <w:sz w:val="20"/>
          <w:szCs w:val="20"/>
          <w:color w:val="auto"/>
        </w:rPr>
      </w:pPr>
      <w:r>
        <w:rPr>
          <w:rFonts w:ascii="Arial" w:cs="Arial" w:eastAsia="Arial" w:hAnsi="Arial"/>
          <w:sz w:val="16"/>
          <w:szCs w:val="16"/>
          <w:color w:val="auto"/>
        </w:rPr>
        <w:t>Our business depends on the overall demand for our technology and on the economic health of our current and prospective customers. In addition, the purchase of our products is often discretionary and may involve a significant commitment of capital and other resources. Weak global and regional macroeconomic conditions, including labor shortages, supply chain disruptions, rising interest rates and inflation, low spending environments, geopolitical instability, warfare and uncertainty, weak economic conditions in certain regions or a reduction in technology spending regardless of macroeconomic conditions, including as a result of the remaining effects of COVID-19 and the ongoing conflict between Russia and the Ukraine and the global response thereto, could adversely affect our business, operating results, and financial condition, including resulting in longer sales cycles, a negative impact on our ability to attract and retain new customers or expand our platform or sell additional products and services to our existing customers, lower prices for our products, higher default rates among our current suppliers and customers and reduced sales to new or existing customers.</w:t>
      </w:r>
    </w:p>
    <w:p>
      <w:pPr>
        <w:spacing w:after="0" w:line="143"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There has been recent turmoil in the global banking system. For example, on March 10, 2023, Silicon Valley Bank (“SVB”), was closed by the California Department of Financial Protection and Innovation, which appointed the Federal Deposit Insurance Corporation (“FDIC”), as receiver for SVB. Additionally, in May 2023, the FDIC took control of First Republic Bank (“First Republic”). While the FDIC has since stated that all depositors of SVB will be made whole and JPMorgan Chase &amp; Co. (“JPMorgan”) has since acquired a substantial amount of assets and certain liabilities of First Republic, there is no guarantee that the federal government would similarly guarantee all depositors in the event of future bank closures. While the Company does not have a banking relationship with SVB or First Republic, continued instability and turmoil in the global banking system may negatively impact us or our customers, including our customers’ ability to pay for our products, and adversely impact our business and financial condition. Moreover, such events, in addition to the global macroeconomic conditions discussed above, may cause further turbulence and uncertainty in the capital markets. Further deterioration of the global macroeconomic environment and any regulatory action taken in response thereto may adversely affect our business, operating results, and financial condition.</w:t>
      </w:r>
    </w:p>
    <w:p>
      <w:pPr>
        <w:spacing w:after="0" w:line="145"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Further, natural disasters or other catastrophic events may cause damage or disruption to our operations, international commerce, and the global economy, and thus could have an adverse effect on us. Our business operations are also subject to interruption by fire, power shortages, flooding, and other events beyond our control. 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Climate change could result in an increase in the frequency or severity of such natural disasters. For example, our corporate offices are located in California, a state that frequently experiences earthquakes, wildfires, heatwaves and droughts.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outbreak of health epidemics, such as COVID-19, has and may further adversely affect our business, results of operations and financial condition.</w:t>
      </w:r>
    </w:p>
    <w:p>
      <w:pPr>
        <w:spacing w:after="0" w:line="287"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Any outbreaks of contagious diseases and other adverse public health developments in countries where we, our customers and suppliers operate could have a material and adverse effect on our business, results of operations and financial condition. For example, the COVID-19 pandemic resulted in significant governmental measures being implemented to control the spread of the virus, including quarantines, travel restrictions, manufacturing restrictions, declarations of states of emergency and business shutdowns. A majority of our potential customers have a significant dependence on the Chinese manufacturing and supply chain infrastructure. We believe the COVID-19 pandemic delayed adoption of our technology by potential customers who temporarily shut down their workforces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ind w:right="60"/>
        <w:spacing w:after="0" w:line="263" w:lineRule="auto"/>
        <w:rPr>
          <w:sz w:val="20"/>
          <w:szCs w:val="20"/>
          <w:color w:val="auto"/>
        </w:rPr>
      </w:pPr>
      <w:r>
        <w:rPr>
          <w:rFonts w:ascii="Arial" w:cs="Arial" w:eastAsia="Arial" w:hAnsi="Arial"/>
          <w:sz w:val="18"/>
          <w:szCs w:val="18"/>
          <w:color w:val="auto"/>
        </w:rPr>
        <w:t>and supply chains based in China and elsewhere around the world. At times, certain of our outsourcing partners, component suppliers and logistical service providers have experienced disruptions, resulting in supply shortages that have affected and may continue to affect our sales. Similar disruptions could occur in the future.</w:t>
      </w:r>
    </w:p>
    <w:p>
      <w:pPr>
        <w:spacing w:after="0" w:line="211"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In addition, COVID-19 has resulted and may continue to result in a widespread health crisis that could contribute to increased market volatility and adversely affect the economies and financial markets of many countries, resulting in a global economic downturn that could affect interest in our products or demand by potential customers. Any of these events could materially and adversely affect our business, results of operations and financial condition. The extent of the impact will depend on future developments, which are highly uncertain and cannot be predicted.</w:t>
      </w:r>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43"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Sales of Unregistered Securities;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as a part of this report are listed in the Exhibit Index.</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620" w:type="dxa"/>
            <w:vAlign w:val="bottom"/>
            <w:gridSpan w:val="5"/>
          </w:tcPr>
          <w:p>
            <w:pPr>
              <w:ind w:left="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620" w:type="dxa"/>
            <w:vAlign w:val="bottom"/>
            <w:gridSpan w:val="5"/>
            <w:vMerge w:val="restart"/>
          </w:tcPr>
          <w:p>
            <w:pPr>
              <w:ind w:left="1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040" w:type="dxa"/>
            <w:vAlign w:val="bottom"/>
            <w:tcBorders>
              <w:bottom w:val="single" w:sz="8" w:color="0000EE"/>
            </w:tcBorders>
            <w:gridSpan w:val="6"/>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Form of Common Warrant (incorporated by reference to Exhibit 4.1 of the Current Report on Form 8-K (Registration No. 001-36379) filed</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7"/>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on March 27,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0000EE"/>
              </w:rPr>
              <w:t>Certification of Periodic Report by Chief Executive Officer (principal executive officer) pursuant to Rule 13a-14(a)/15d-14a</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0000EE"/>
                <w:w w:val="98"/>
              </w:rPr>
              <w:t>Certification of Periodic Report by the Acting Chief Financial Officer (principal financial officer) pursuant to Rule 13a-14(a)/15d-14a</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60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0000EE"/>
                <w:w w:val="96"/>
              </w:rPr>
              <w:t>Certification of Periodic Report by Chief Executive Officer (principal executive officer) and the Acting Chief Financial Officer (principal</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financial officer) pursuant to U.S.C. Section 1350</w:t>
            </w:r>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35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4"/>
              </w:rPr>
              <w:t>Inline XBRL Instance Document (filed herewith)</w:t>
            </w:r>
          </w:p>
        </w:tc>
        <w:tc>
          <w:tcPr>
            <w:tcW w:w="66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 (filed herewith)</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 (filed herewith)</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 (filed herewith)</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 (filed herewith)</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 (filed herewith)</w:t>
            </w:r>
          </w:p>
        </w:tc>
        <w:tc>
          <w:tcPr>
            <w:tcW w:w="0" w:type="dxa"/>
            <w:vAlign w:val="bottom"/>
          </w:tcPr>
          <w:p>
            <w:pPr>
              <w:spacing w:after="0"/>
              <w:rPr>
                <w:sz w:val="1"/>
                <w:szCs w:val="1"/>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087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55" w:lineRule="exact"/>
        <w:rPr>
          <w:sz w:val="20"/>
          <w:szCs w:val="20"/>
          <w:color w:val="auto"/>
        </w:rPr>
      </w:pPr>
    </w:p>
    <w:p>
      <w:pPr>
        <w:ind w:left="440" w:right="120" w:hanging="432"/>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Date: May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May 17, 2023</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31750</wp:posOffset>
            </wp:positionV>
            <wp:extent cx="3489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Cesar Johnston</w:t>
      </w:r>
    </w:p>
    <w:p>
      <w:pPr>
        <w:spacing w:after="0" w:line="36"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8"/>
          <w:szCs w:val="18"/>
          <w:color w:val="auto"/>
        </w:rPr>
        <w:t>Title:</w:t>
        <w:tab/>
        <w:t>Chief Executive Officer</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William Mannina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31750</wp:posOffset>
            </wp:positionV>
            <wp:extent cx="3489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William Mannina</w:t>
      </w:r>
    </w:p>
    <w:p>
      <w:pPr>
        <w:spacing w:after="0" w:line="36" w:lineRule="exact"/>
        <w:rPr>
          <w:sz w:val="20"/>
          <w:szCs w:val="20"/>
          <w:color w:val="auto"/>
        </w:rPr>
      </w:pPr>
    </w:p>
    <w:p>
      <w:pPr>
        <w:ind w:left="440"/>
        <w:spacing w:after="0"/>
        <w:tabs>
          <w:tab w:leader="none" w:pos="1060" w:val="left"/>
        </w:tabs>
        <w:rPr>
          <w:sz w:val="20"/>
          <w:szCs w:val="20"/>
          <w:color w:val="auto"/>
        </w:rPr>
      </w:pPr>
      <w:r>
        <w:rPr>
          <w:rFonts w:ascii="Arial" w:cs="Arial" w:eastAsia="Arial" w:hAnsi="Arial"/>
          <w:sz w:val="18"/>
          <w:szCs w:val="18"/>
          <w:color w:val="auto"/>
        </w:rPr>
        <w:t>Title:</w:t>
        <w:tab/>
        <w:t>Acting Chief Financial Officer</w:t>
      </w:r>
    </w:p>
    <w:p>
      <w:pPr>
        <w:spacing w:after="0" w:line="36"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4600" w:space="720"/>
            <w:col w:w="5920"/>
          </w:cols>
          <w:pgMar w:left="320" w:top="351" w:right="339" w:bottom="1440" w:gutter="0" w:footer="0" w:header="0"/>
          <w:type w:val="continuous"/>
        </w:sectPr>
      </w:pPr>
    </w:p>
    <w:p>
      <w:pPr>
        <w:spacing w:after="0" w:line="26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351" w:right="3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Cesar Johnston, certify that:</w:t>
      </w:r>
    </w:p>
    <w:p>
      <w:pPr>
        <w:spacing w:after="0" w:line="198" w:lineRule="exact"/>
        <w:rPr>
          <w:sz w:val="20"/>
          <w:szCs w:val="20"/>
          <w:color w:val="auto"/>
        </w:rPr>
      </w:pPr>
    </w:p>
    <w:p>
      <w:pPr>
        <w:ind w:left="960" w:hanging="551"/>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211" w:lineRule="exact"/>
        <w:rPr>
          <w:rFonts w:ascii="Arial" w:cs="Arial" w:eastAsia="Arial" w:hAnsi="Arial"/>
          <w:sz w:val="18"/>
          <w:szCs w:val="18"/>
          <w:color w:val="auto"/>
        </w:rPr>
      </w:pPr>
    </w:p>
    <w:p>
      <w:pPr>
        <w:jc w:val="both"/>
        <w:ind w:left="960" w:right="80" w:hanging="551"/>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60" w:right="40" w:hanging="551"/>
        <w:spacing w:after="0" w:line="308"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960" w:hanging="551"/>
        <w:spacing w:after="0" w:line="291"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60" w:right="80" w:hanging="550"/>
        <w:spacing w:after="0" w:line="263"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60" w:right="80" w:hanging="550"/>
        <w:spacing w:after="0" w:line="263"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60" w:right="160" w:hanging="550"/>
        <w:spacing w:after="0" w:line="342" w:lineRule="auto"/>
        <w:tabs>
          <w:tab w:leader="none" w:pos="13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60" w:right="200" w:hanging="550"/>
        <w:spacing w:after="0" w:line="263"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60" w:right="520" w:hanging="551"/>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360" w:right="400" w:hanging="550"/>
        <w:spacing w:after="0" w:line="342" w:lineRule="auto"/>
        <w:tabs>
          <w:tab w:leader="none" w:pos="13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60" w:right="100" w:hanging="550"/>
        <w:spacing w:after="0" w:line="277" w:lineRule="auto"/>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Cesar Johnston</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35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Mannina, certify that:</w:t>
      </w:r>
    </w:p>
    <w:p>
      <w:pPr>
        <w:spacing w:after="0" w:line="198" w:lineRule="exact"/>
        <w:rPr>
          <w:sz w:val="20"/>
          <w:szCs w:val="20"/>
          <w:color w:val="auto"/>
        </w:rPr>
      </w:pPr>
    </w:p>
    <w:p>
      <w:pPr>
        <w:ind w:left="960" w:hanging="55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Energous Corporation;</w:t>
      </w:r>
    </w:p>
    <w:p>
      <w:pPr>
        <w:spacing w:after="0" w:line="211" w:lineRule="exact"/>
        <w:rPr>
          <w:rFonts w:ascii="Arial" w:cs="Arial" w:eastAsia="Arial" w:hAnsi="Arial"/>
          <w:sz w:val="18"/>
          <w:szCs w:val="18"/>
          <w:color w:val="auto"/>
        </w:rPr>
      </w:pPr>
    </w:p>
    <w:p>
      <w:pPr>
        <w:jc w:val="both"/>
        <w:ind w:left="960" w:right="80" w:hanging="551"/>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960" w:right="40" w:hanging="551"/>
        <w:spacing w:after="0" w:line="308"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960" w:hanging="551"/>
        <w:spacing w:after="0" w:line="29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70" w:lineRule="exact"/>
        <w:rPr>
          <w:rFonts w:ascii="Arial" w:cs="Arial" w:eastAsia="Arial" w:hAnsi="Arial"/>
          <w:sz w:val="16"/>
          <w:szCs w:val="16"/>
          <w:color w:val="auto"/>
        </w:rPr>
      </w:pPr>
    </w:p>
    <w:p>
      <w:pPr>
        <w:ind w:left="1360" w:right="80" w:hanging="550"/>
        <w:spacing w:after="0" w:line="263" w:lineRule="auto"/>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60" w:right="80" w:hanging="550"/>
        <w:spacing w:after="0" w:line="263" w:lineRule="auto"/>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60" w:right="160" w:hanging="550"/>
        <w:spacing w:after="0" w:line="342" w:lineRule="auto"/>
        <w:tabs>
          <w:tab w:leader="none" w:pos="13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60" w:right="200" w:hanging="550"/>
        <w:spacing w:after="0" w:line="263" w:lineRule="auto"/>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960" w:right="520" w:hanging="551"/>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1360" w:right="400" w:hanging="550"/>
        <w:spacing w:after="0" w:line="342" w:lineRule="auto"/>
        <w:tabs>
          <w:tab w:leader="none" w:pos="13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60" w:right="100" w:hanging="550"/>
        <w:spacing w:after="0" w:line="277" w:lineRule="auto"/>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Mannina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William Mannina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100"/>
              <w:spacing w:after="0"/>
              <w:rPr>
                <w:sz w:val="20"/>
                <w:szCs w:val="20"/>
                <w:color w:val="auto"/>
              </w:rPr>
            </w:pPr>
            <w:r>
              <w:rPr>
                <w:rFonts w:ascii="Arial" w:cs="Arial" w:eastAsia="Arial" w:hAnsi="Arial"/>
                <w:sz w:val="18"/>
                <w:szCs w:val="18"/>
                <w:color w:val="auto"/>
              </w:rPr>
              <w:t>Acting Chief Financial Officer</w:t>
            </w:r>
          </w:p>
        </w:tc>
      </w:tr>
    </w:tbl>
    <w:p>
      <w:pPr>
        <w:sectPr>
          <w:pgSz w:w="11900" w:h="16838" w:orient="portrait"/>
          <w:cols w:equalWidth="0" w:num="1">
            <w:col w:w="11240"/>
          </w:cols>
          <w:pgMar w:left="320" w:top="351" w:right="339" w:bottom="1440" w:gutter="0" w:footer="0" w:header="0"/>
        </w:sectPr>
      </w:pPr>
    </w:p>
    <w:bookmarkStart w:id="44" w:name="page45"/>
    <w:bookmarkEnd w:id="44"/>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Energous Corporation (the “Company”) on Form 10-Q for the period ended March 31, 2023 as filed with the Securities and Exchange Commission on the date hereof (the “Report”), we, Cesar Johnston, Chief Executive Officer and William Mannina, Acting Chief Financial Officer, certify, pursuant to 18 U.S.C. § 1350, as adopted pursuant to § 906 of the Sarbanes-Oxley Act of 2002, that:</w:t>
      </w:r>
    </w:p>
    <w:p>
      <w:pPr>
        <w:spacing w:after="0" w:line="125" w:lineRule="exact"/>
        <w:rPr>
          <w:sz w:val="20"/>
          <w:szCs w:val="20"/>
          <w:color w:val="auto"/>
        </w:rPr>
      </w:pPr>
    </w:p>
    <w:p>
      <w:pPr>
        <w:ind w:left="1100" w:hanging="546"/>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00" w:right="480" w:hanging="546"/>
        <w:spacing w:after="0" w:line="277"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/s/ Cesar Johnston</w:t>
            </w:r>
          </w:p>
        </w:tc>
        <w:tc>
          <w:tcPr>
            <w:tcW w:w="5660" w:type="dxa"/>
            <w:vAlign w:val="bottom"/>
            <w:gridSpan w:val="3"/>
          </w:tcPr>
          <w:p>
            <w:pPr>
              <w:ind w:left="200"/>
              <w:spacing w:after="0"/>
              <w:rPr>
                <w:sz w:val="20"/>
                <w:szCs w:val="20"/>
                <w:color w:val="auto"/>
              </w:rPr>
            </w:pPr>
            <w:r>
              <w:rPr>
                <w:rFonts w:ascii="Arial" w:cs="Arial" w:eastAsia="Arial" w:hAnsi="Arial"/>
                <w:sz w:val="18"/>
                <w:szCs w:val="18"/>
                <w:color w:val="auto"/>
              </w:rPr>
              <w:t>/s/ William Mannina</w:t>
            </w:r>
          </w:p>
        </w:tc>
      </w:t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Cesar Johnston</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William Mannina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Title:</w:t>
            </w:r>
          </w:p>
        </w:tc>
        <w:tc>
          <w:tcPr>
            <w:tcW w:w="4880" w:type="dxa"/>
            <w:vAlign w:val="bottom"/>
          </w:tcPr>
          <w:p>
            <w:pPr>
              <w:ind w:left="80"/>
              <w:spacing w:after="0"/>
              <w:rPr>
                <w:sz w:val="20"/>
                <w:szCs w:val="20"/>
                <w:color w:val="auto"/>
              </w:rPr>
            </w:pPr>
            <w:r>
              <w:rPr>
                <w:rFonts w:ascii="Arial" w:cs="Arial" w:eastAsia="Arial" w:hAnsi="Arial"/>
                <w:sz w:val="18"/>
                <w:szCs w:val="18"/>
                <w:color w:val="auto"/>
              </w:rPr>
              <w:t>Acting Chief Financial Officer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Pr>
          <w:p>
            <w:pPr>
              <w:ind w:left="160"/>
              <w:spacing w:after="0"/>
              <w:rPr>
                <w:sz w:val="20"/>
                <w:szCs w:val="20"/>
                <w:color w:val="auto"/>
              </w:rPr>
            </w:pPr>
            <w:r>
              <w:rPr>
                <w:rFonts w:ascii="Arial" w:cs="Arial" w:eastAsia="Arial" w:hAnsi="Arial"/>
                <w:sz w:val="18"/>
                <w:szCs w:val="18"/>
                <w:color w:val="auto"/>
              </w:rPr>
              <w:t>May 17, 2023</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Date:</w:t>
            </w:r>
          </w:p>
        </w:tc>
        <w:tc>
          <w:tcPr>
            <w:tcW w:w="4880" w:type="dxa"/>
            <w:vAlign w:val="bottom"/>
          </w:tcPr>
          <w:p>
            <w:pPr>
              <w:ind w:left="80"/>
              <w:spacing w:after="0"/>
              <w:rPr>
                <w:sz w:val="20"/>
                <w:szCs w:val="20"/>
                <w:color w:val="auto"/>
              </w:rPr>
            </w:pPr>
            <w:r>
              <w:rPr>
                <w:rFonts w:ascii="Arial" w:cs="Arial" w:eastAsia="Arial" w:hAnsi="Arial"/>
                <w:sz w:val="18"/>
                <w:szCs w:val="18"/>
                <w:color w:val="auto"/>
              </w:rPr>
              <w:t>May 17, 2023</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54" Type="http://schemas.openxmlformats.org/officeDocument/2006/relationships/hyperlink" Target="http://www.sec.gov/Archives/edgar/data/1575793/000119312523080547/d49206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2023-05-17T15:44:56Z</dcterms:created>
  <dcterms:modified xsi:type="dcterms:W3CDTF">2023-05-17T15:44:56Z</dcterms:modified>
</cp:coreProperties>
</file>